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09AC" w14:textId="77777777" w:rsidR="00130D0F" w:rsidRDefault="00130D0F">
      <w:bookmarkStart w:id="0" w:name="_GoBack"/>
      <w:bookmarkEnd w:id="0"/>
      <w:r>
        <w:t xml:space="preserve">           </w:t>
      </w:r>
    </w:p>
    <w:p w14:paraId="2667ECBE" w14:textId="77777777" w:rsidR="004B11CE" w:rsidRDefault="00130D0F">
      <w:r>
        <w:t xml:space="preserve">                                                                                                                                               </w:t>
      </w:r>
      <w:r w:rsidRPr="00301059">
        <w:rPr>
          <w:rFonts w:ascii="Arial" w:hAnsi="Arial" w:cs="Arial"/>
          <w:noProof/>
          <w:lang w:eastAsia="en-GB"/>
        </w:rPr>
        <w:drawing>
          <wp:inline distT="0" distB="0" distL="0" distR="0" wp14:anchorId="5A671349" wp14:editId="3F5BCDAF">
            <wp:extent cx="1057275" cy="809625"/>
            <wp:effectExtent l="0" t="0" r="9525" b="9525"/>
            <wp:docPr id="2" name="Picture 1" descr="LSB Logo purple.JPG"/>
            <wp:cNvGraphicFramePr/>
            <a:graphic xmlns:a="http://schemas.openxmlformats.org/drawingml/2006/main">
              <a:graphicData uri="http://schemas.openxmlformats.org/drawingml/2006/picture">
                <pic:pic xmlns:pic="http://schemas.openxmlformats.org/drawingml/2006/picture">
                  <pic:nvPicPr>
                    <pic:cNvPr id="2" name="Picture 1" descr="LSB Logo purpl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p>
    <w:p w14:paraId="7BF20605" w14:textId="77777777" w:rsidR="00130D0F" w:rsidRDefault="00130D0F"/>
    <w:p w14:paraId="0EDDD539" w14:textId="77777777" w:rsidR="00B23BD1" w:rsidRPr="00465482" w:rsidRDefault="00012557" w:rsidP="00245E96">
      <w:pPr>
        <w:jc w:val="center"/>
        <w:rPr>
          <w:b/>
          <w:sz w:val="24"/>
          <w:szCs w:val="24"/>
        </w:rPr>
      </w:pPr>
      <w:r>
        <w:rPr>
          <w:b/>
          <w:sz w:val="24"/>
          <w:szCs w:val="24"/>
        </w:rPr>
        <w:t>PROFORMA FOR PRACTISING FEE APPLICATIONS</w:t>
      </w:r>
      <w:r w:rsidR="00C75C8C">
        <w:rPr>
          <w:b/>
          <w:sz w:val="24"/>
          <w:szCs w:val="24"/>
        </w:rPr>
        <w:t xml:space="preserve"> FOR APPROVAL BY THE LSB UNDER SECTION 51 OF THE LEGAL SERVICES ACT 2007</w:t>
      </w:r>
      <w:r>
        <w:rPr>
          <w:b/>
          <w:sz w:val="24"/>
          <w:szCs w:val="24"/>
        </w:rPr>
        <w:t xml:space="preserve"> </w:t>
      </w:r>
      <w:r w:rsidR="006135E0">
        <w:rPr>
          <w:b/>
          <w:sz w:val="24"/>
          <w:szCs w:val="24"/>
        </w:rPr>
        <w:t xml:space="preserve">   </w:t>
      </w:r>
    </w:p>
    <w:p w14:paraId="6F49924B" w14:textId="77777777" w:rsidR="00B23BD1" w:rsidRPr="00465482" w:rsidRDefault="00B23BD1" w:rsidP="00B23BD1">
      <w:pPr>
        <w:rPr>
          <w:b/>
          <w:sz w:val="24"/>
          <w:szCs w:val="24"/>
        </w:rPr>
      </w:pPr>
      <w:r w:rsidRPr="00465482">
        <w:rPr>
          <w:b/>
          <w:sz w:val="24"/>
          <w:szCs w:val="24"/>
        </w:rPr>
        <w:t xml:space="preserve">Preamble </w:t>
      </w:r>
    </w:p>
    <w:p w14:paraId="747E35FD" w14:textId="1ECFF7AF" w:rsidR="00B23BD1" w:rsidRPr="00465482" w:rsidRDefault="0075777F" w:rsidP="00B23BD1">
      <w:pPr>
        <w:rPr>
          <w:b/>
          <w:i/>
          <w:sz w:val="24"/>
          <w:szCs w:val="24"/>
        </w:rPr>
      </w:pPr>
      <w:r w:rsidRPr="00465482">
        <w:rPr>
          <w:b/>
          <w:i/>
          <w:sz w:val="24"/>
          <w:szCs w:val="24"/>
        </w:rPr>
        <w:t xml:space="preserve">Purpose </w:t>
      </w:r>
    </w:p>
    <w:p w14:paraId="68B43E08" w14:textId="3275D7BC" w:rsidR="008C7C82" w:rsidRPr="008C7C82" w:rsidRDefault="003D6E30" w:rsidP="00572F6D">
      <w:pPr>
        <w:pStyle w:val="BodyText"/>
        <w:rPr>
          <w:rFonts w:asciiTheme="minorHAnsi" w:hAnsiTheme="minorHAnsi"/>
          <w:sz w:val="22"/>
        </w:rPr>
      </w:pPr>
      <w:r w:rsidRPr="008C7C82">
        <w:rPr>
          <w:rFonts w:asciiTheme="minorHAnsi" w:hAnsiTheme="minorHAnsi"/>
        </w:rPr>
        <w:t>Th</w:t>
      </w:r>
      <w:r w:rsidR="00797E87" w:rsidRPr="008C7C82">
        <w:rPr>
          <w:rFonts w:asciiTheme="minorHAnsi" w:hAnsiTheme="minorHAnsi"/>
        </w:rPr>
        <w:t xml:space="preserve">e information in this </w:t>
      </w:r>
      <w:r w:rsidRPr="008C7C82">
        <w:rPr>
          <w:rFonts w:asciiTheme="minorHAnsi" w:hAnsiTheme="minorHAnsi"/>
        </w:rPr>
        <w:t xml:space="preserve">proforma should </w:t>
      </w:r>
      <w:r w:rsidR="00663B0B" w:rsidRPr="008C7C82">
        <w:rPr>
          <w:rFonts w:asciiTheme="minorHAnsi" w:hAnsiTheme="minorHAnsi"/>
        </w:rPr>
        <w:t>be</w:t>
      </w:r>
      <w:r w:rsidR="00797E87" w:rsidRPr="008C7C82">
        <w:rPr>
          <w:rFonts w:asciiTheme="minorHAnsi" w:hAnsiTheme="minorHAnsi"/>
        </w:rPr>
        <w:t xml:space="preserve"> provided </w:t>
      </w:r>
      <w:r w:rsidR="00663B0B" w:rsidRPr="008C7C82">
        <w:rPr>
          <w:rFonts w:asciiTheme="minorHAnsi" w:hAnsiTheme="minorHAnsi"/>
        </w:rPr>
        <w:t>by</w:t>
      </w:r>
      <w:r w:rsidR="00194373" w:rsidRPr="008C7C82" w:rsidDel="00194373">
        <w:rPr>
          <w:rFonts w:asciiTheme="minorHAnsi" w:hAnsiTheme="minorHAnsi"/>
        </w:rPr>
        <w:t xml:space="preserve"> </w:t>
      </w:r>
      <w:r w:rsidR="00B23BD1" w:rsidRPr="008C7C82">
        <w:rPr>
          <w:rFonts w:asciiTheme="minorHAnsi" w:hAnsiTheme="minorHAnsi"/>
        </w:rPr>
        <w:t>approved regulators</w:t>
      </w:r>
      <w:r w:rsidR="00663B0B" w:rsidRPr="008C7C82">
        <w:rPr>
          <w:rFonts w:asciiTheme="minorHAnsi" w:hAnsiTheme="minorHAnsi"/>
        </w:rPr>
        <w:t xml:space="preserve"> </w:t>
      </w:r>
      <w:r w:rsidR="006601E5" w:rsidRPr="008C7C82">
        <w:rPr>
          <w:rFonts w:asciiTheme="minorHAnsi" w:hAnsiTheme="minorHAnsi"/>
        </w:rPr>
        <w:t>when</w:t>
      </w:r>
      <w:r w:rsidR="00797E87" w:rsidRPr="008C7C82">
        <w:rPr>
          <w:rFonts w:asciiTheme="minorHAnsi" w:hAnsiTheme="minorHAnsi"/>
        </w:rPr>
        <w:t xml:space="preserve"> </w:t>
      </w:r>
      <w:r w:rsidR="00B23BD1" w:rsidRPr="008C7C82">
        <w:rPr>
          <w:rFonts w:asciiTheme="minorHAnsi" w:hAnsiTheme="minorHAnsi"/>
        </w:rPr>
        <w:t>submit</w:t>
      </w:r>
      <w:r w:rsidR="00797E87" w:rsidRPr="008C7C82">
        <w:rPr>
          <w:rFonts w:asciiTheme="minorHAnsi" w:hAnsiTheme="minorHAnsi"/>
        </w:rPr>
        <w:t>ting</w:t>
      </w:r>
      <w:r w:rsidR="006601E5" w:rsidRPr="008C7C82">
        <w:rPr>
          <w:rFonts w:asciiTheme="minorHAnsi" w:hAnsiTheme="minorHAnsi"/>
        </w:rPr>
        <w:t xml:space="preserve"> </w:t>
      </w:r>
      <w:r w:rsidR="00572F6D" w:rsidRPr="008C7C82">
        <w:rPr>
          <w:rFonts w:asciiTheme="minorHAnsi" w:hAnsiTheme="minorHAnsi"/>
        </w:rPr>
        <w:t xml:space="preserve">each practising </w:t>
      </w:r>
      <w:r w:rsidR="00D67134">
        <w:rPr>
          <w:rFonts w:asciiTheme="minorHAnsi" w:hAnsiTheme="minorHAnsi"/>
        </w:rPr>
        <w:t xml:space="preserve">certificate </w:t>
      </w:r>
      <w:r w:rsidR="00572F6D" w:rsidRPr="008C7C82">
        <w:rPr>
          <w:rFonts w:asciiTheme="minorHAnsi" w:hAnsiTheme="minorHAnsi"/>
        </w:rPr>
        <w:t xml:space="preserve">fee (PCF) </w:t>
      </w:r>
      <w:r w:rsidR="0075777F" w:rsidRPr="008C7C82">
        <w:rPr>
          <w:rFonts w:asciiTheme="minorHAnsi" w:hAnsiTheme="minorHAnsi"/>
        </w:rPr>
        <w:t>application to the L</w:t>
      </w:r>
      <w:r w:rsidR="006601E5" w:rsidRPr="008C7C82">
        <w:rPr>
          <w:rFonts w:asciiTheme="minorHAnsi" w:hAnsiTheme="minorHAnsi"/>
        </w:rPr>
        <w:t xml:space="preserve">egal </w:t>
      </w:r>
      <w:r w:rsidR="0075777F" w:rsidRPr="008C7C82">
        <w:rPr>
          <w:rFonts w:asciiTheme="minorHAnsi" w:hAnsiTheme="minorHAnsi"/>
        </w:rPr>
        <w:t>S</w:t>
      </w:r>
      <w:r w:rsidR="006601E5" w:rsidRPr="008C7C82">
        <w:rPr>
          <w:rFonts w:asciiTheme="minorHAnsi" w:hAnsiTheme="minorHAnsi"/>
        </w:rPr>
        <w:t xml:space="preserve">ervices </w:t>
      </w:r>
      <w:r w:rsidR="0075777F" w:rsidRPr="008C7C82">
        <w:rPr>
          <w:rFonts w:asciiTheme="minorHAnsi" w:hAnsiTheme="minorHAnsi"/>
        </w:rPr>
        <w:t>B</w:t>
      </w:r>
      <w:r w:rsidR="006601E5" w:rsidRPr="008C7C82">
        <w:rPr>
          <w:rFonts w:asciiTheme="minorHAnsi" w:hAnsiTheme="minorHAnsi"/>
        </w:rPr>
        <w:t>oard</w:t>
      </w:r>
      <w:r w:rsidR="00646D71">
        <w:rPr>
          <w:rFonts w:asciiTheme="minorHAnsi" w:hAnsiTheme="minorHAnsi"/>
        </w:rPr>
        <w:t xml:space="preserve"> (LSB)</w:t>
      </w:r>
      <w:r w:rsidR="0075777F" w:rsidRPr="008C7C82">
        <w:rPr>
          <w:rFonts w:asciiTheme="minorHAnsi" w:hAnsiTheme="minorHAnsi"/>
        </w:rPr>
        <w:t xml:space="preserve"> for approval under section 51 of the Legal Services Act</w:t>
      </w:r>
      <w:r w:rsidR="00966AE0" w:rsidRPr="008C7C82">
        <w:rPr>
          <w:rFonts w:asciiTheme="minorHAnsi" w:hAnsiTheme="minorHAnsi"/>
        </w:rPr>
        <w:t xml:space="preserve"> 2007 (the Act</w:t>
      </w:r>
      <w:r w:rsidR="0075777F" w:rsidRPr="008C7C82">
        <w:rPr>
          <w:rFonts w:asciiTheme="minorHAnsi" w:hAnsiTheme="minorHAnsi"/>
        </w:rPr>
        <w:t>).</w:t>
      </w:r>
      <w:r w:rsidR="00F1077B" w:rsidRPr="008C7C82">
        <w:rPr>
          <w:rFonts w:asciiTheme="minorHAnsi" w:hAnsiTheme="minorHAnsi"/>
        </w:rPr>
        <w:t xml:space="preserve"> Section 51</w:t>
      </w:r>
      <w:r w:rsidR="00633C35" w:rsidRPr="008C7C82">
        <w:rPr>
          <w:rFonts w:asciiTheme="minorHAnsi" w:hAnsiTheme="minorHAnsi"/>
        </w:rPr>
        <w:t>(2)</w:t>
      </w:r>
      <w:r w:rsidR="00F1077B" w:rsidRPr="008C7C82">
        <w:rPr>
          <w:rFonts w:asciiTheme="minorHAnsi" w:hAnsiTheme="minorHAnsi"/>
        </w:rPr>
        <w:t xml:space="preserve"> of the Act limits the application of </w:t>
      </w:r>
      <w:r w:rsidR="00633C35" w:rsidRPr="008C7C82">
        <w:rPr>
          <w:rFonts w:asciiTheme="minorHAnsi" w:hAnsiTheme="minorHAnsi"/>
        </w:rPr>
        <w:t xml:space="preserve">amounts raised by </w:t>
      </w:r>
      <w:r w:rsidR="00447667">
        <w:rPr>
          <w:rFonts w:asciiTheme="minorHAnsi" w:hAnsiTheme="minorHAnsi"/>
        </w:rPr>
        <w:t>PCFs</w:t>
      </w:r>
      <w:r w:rsidR="00F1077B" w:rsidRPr="008C7C82">
        <w:rPr>
          <w:rFonts w:asciiTheme="minorHAnsi" w:hAnsiTheme="minorHAnsi"/>
        </w:rPr>
        <w:t xml:space="preserve"> to </w:t>
      </w:r>
      <w:r w:rsidR="00633C35" w:rsidRPr="008C7C82">
        <w:rPr>
          <w:rFonts w:asciiTheme="minorHAnsi" w:hAnsiTheme="minorHAnsi"/>
        </w:rPr>
        <w:t>one or more of the permitted purposes set out in section 51(4)</w:t>
      </w:r>
      <w:r w:rsidR="00183047" w:rsidRPr="008C7C82">
        <w:rPr>
          <w:rFonts w:asciiTheme="minorHAnsi" w:hAnsiTheme="minorHAnsi"/>
        </w:rPr>
        <w:t>.</w:t>
      </w:r>
    </w:p>
    <w:p w14:paraId="3776EC76" w14:textId="4E604BDB" w:rsidR="00F1077B" w:rsidRPr="00A02C48" w:rsidRDefault="00633C35" w:rsidP="00572F6D">
      <w:pPr>
        <w:pStyle w:val="BodyText"/>
        <w:rPr>
          <w:rFonts w:asciiTheme="minorHAnsi" w:hAnsiTheme="minorHAnsi"/>
          <w:sz w:val="22"/>
        </w:rPr>
      </w:pPr>
      <w:r w:rsidRPr="002B3661">
        <w:rPr>
          <w:rFonts w:asciiTheme="minorHAnsi" w:hAnsiTheme="minorHAnsi"/>
        </w:rPr>
        <w:t>The Practising Fee Rules 2016</w:t>
      </w:r>
      <w:r w:rsidR="009D5285">
        <w:rPr>
          <w:rStyle w:val="FootnoteReference"/>
        </w:rPr>
        <w:footnoteReference w:id="1"/>
      </w:r>
      <w:r w:rsidRPr="002B3661">
        <w:rPr>
          <w:rFonts w:asciiTheme="minorHAnsi" w:hAnsiTheme="minorHAnsi"/>
        </w:rPr>
        <w:t xml:space="preserve"> (Rules) restat</w:t>
      </w:r>
      <w:r w:rsidR="000E4A23" w:rsidRPr="002B3661">
        <w:rPr>
          <w:rFonts w:asciiTheme="minorHAnsi" w:hAnsiTheme="minorHAnsi"/>
        </w:rPr>
        <w:t>e the permitted purposes</w:t>
      </w:r>
      <w:r w:rsidRPr="002B3661">
        <w:rPr>
          <w:rFonts w:asciiTheme="minorHAnsi" w:hAnsiTheme="minorHAnsi"/>
        </w:rPr>
        <w:t xml:space="preserve"> in section 51(4)</w:t>
      </w:r>
      <w:r w:rsidR="00064D57" w:rsidRPr="002B3661">
        <w:rPr>
          <w:rFonts w:asciiTheme="minorHAnsi" w:hAnsiTheme="minorHAnsi"/>
        </w:rPr>
        <w:t>,</w:t>
      </w:r>
      <w:r w:rsidR="000E4A23" w:rsidRPr="002B3661">
        <w:rPr>
          <w:rFonts w:asciiTheme="minorHAnsi" w:hAnsiTheme="minorHAnsi"/>
        </w:rPr>
        <w:t xml:space="preserve"> set out</w:t>
      </w:r>
      <w:r w:rsidRPr="002B3661">
        <w:rPr>
          <w:rFonts w:asciiTheme="minorHAnsi" w:hAnsiTheme="minorHAnsi"/>
        </w:rPr>
        <w:t xml:space="preserve"> the criteria</w:t>
      </w:r>
      <w:r w:rsidR="000E4A23" w:rsidRPr="002B3661">
        <w:rPr>
          <w:rFonts w:asciiTheme="minorHAnsi" w:hAnsiTheme="minorHAnsi"/>
        </w:rPr>
        <w:t xml:space="preserve"> against which the LSB will decide on applications submitted to it</w:t>
      </w:r>
      <w:r w:rsidR="009F7D32" w:rsidRPr="00180012">
        <w:rPr>
          <w:rFonts w:asciiTheme="minorHAnsi" w:hAnsiTheme="minorHAnsi"/>
        </w:rPr>
        <w:t xml:space="preserve"> for approval</w:t>
      </w:r>
      <w:r w:rsidR="00797E87" w:rsidRPr="00180012">
        <w:rPr>
          <w:rFonts w:asciiTheme="minorHAnsi" w:hAnsiTheme="minorHAnsi"/>
        </w:rPr>
        <w:t xml:space="preserve"> and </w:t>
      </w:r>
      <w:r w:rsidR="00BA5BA8">
        <w:rPr>
          <w:rFonts w:asciiTheme="minorHAnsi" w:hAnsiTheme="minorHAnsi"/>
        </w:rPr>
        <w:t xml:space="preserve">identify the </w:t>
      </w:r>
      <w:r w:rsidR="00797E87" w:rsidRPr="00180012">
        <w:rPr>
          <w:rFonts w:asciiTheme="minorHAnsi" w:hAnsiTheme="minorHAnsi"/>
        </w:rPr>
        <w:t>evidence required to satisfy th</w:t>
      </w:r>
      <w:r w:rsidR="00064D57" w:rsidRPr="00180012">
        <w:rPr>
          <w:rFonts w:asciiTheme="minorHAnsi" w:hAnsiTheme="minorHAnsi"/>
        </w:rPr>
        <w:t>at criteria</w:t>
      </w:r>
      <w:r w:rsidR="000E4A23" w:rsidRPr="00A66753">
        <w:rPr>
          <w:rFonts w:asciiTheme="minorHAnsi" w:hAnsiTheme="minorHAnsi"/>
        </w:rPr>
        <w:t>.</w:t>
      </w:r>
      <w:r w:rsidRPr="00A66753">
        <w:rPr>
          <w:rFonts w:asciiTheme="minorHAnsi" w:hAnsiTheme="minorHAnsi"/>
        </w:rPr>
        <w:t xml:space="preserve">  </w:t>
      </w:r>
      <w:r w:rsidR="00B14E3F" w:rsidRPr="00A66753">
        <w:rPr>
          <w:rFonts w:asciiTheme="minorHAnsi" w:hAnsiTheme="minorHAnsi"/>
          <w:szCs w:val="24"/>
        </w:rPr>
        <w:t>The LSB Guidan</w:t>
      </w:r>
      <w:r w:rsidR="00572F6D">
        <w:rPr>
          <w:rFonts w:asciiTheme="minorHAnsi" w:hAnsiTheme="minorHAnsi"/>
          <w:szCs w:val="24"/>
        </w:rPr>
        <w:t>ce to Approved Regulators on P</w:t>
      </w:r>
      <w:r w:rsidR="00646D71">
        <w:rPr>
          <w:rFonts w:asciiTheme="minorHAnsi" w:hAnsiTheme="minorHAnsi"/>
          <w:szCs w:val="24"/>
        </w:rPr>
        <w:t>CF</w:t>
      </w:r>
      <w:r w:rsidR="00B14E3F" w:rsidRPr="00A66753">
        <w:rPr>
          <w:rFonts w:asciiTheme="minorHAnsi" w:hAnsiTheme="minorHAnsi"/>
          <w:szCs w:val="24"/>
        </w:rPr>
        <w:t xml:space="preserve"> applications (Guidance) </w:t>
      </w:r>
      <w:r w:rsidR="00064D57" w:rsidRPr="00A02C48">
        <w:rPr>
          <w:rFonts w:asciiTheme="minorHAnsi" w:hAnsiTheme="minorHAnsi"/>
          <w:szCs w:val="24"/>
        </w:rPr>
        <w:t xml:space="preserve">provides </w:t>
      </w:r>
      <w:r w:rsidR="00BA5BA8">
        <w:rPr>
          <w:rFonts w:asciiTheme="minorHAnsi" w:hAnsiTheme="minorHAnsi"/>
          <w:szCs w:val="24"/>
        </w:rPr>
        <w:t xml:space="preserve">more </w:t>
      </w:r>
      <w:r w:rsidR="00064D57" w:rsidRPr="00A02C48">
        <w:rPr>
          <w:rFonts w:asciiTheme="minorHAnsi" w:hAnsiTheme="minorHAnsi"/>
          <w:szCs w:val="24"/>
        </w:rPr>
        <w:t xml:space="preserve">detailed guidance on </w:t>
      </w:r>
      <w:r w:rsidR="00B14E3F" w:rsidRPr="00A02C48">
        <w:rPr>
          <w:rFonts w:asciiTheme="minorHAnsi" w:hAnsiTheme="minorHAnsi"/>
          <w:szCs w:val="24"/>
        </w:rPr>
        <w:t>the crite</w:t>
      </w:r>
      <w:r w:rsidR="00064D57" w:rsidRPr="00A02C48">
        <w:rPr>
          <w:rFonts w:asciiTheme="minorHAnsi" w:hAnsiTheme="minorHAnsi"/>
          <w:szCs w:val="24"/>
        </w:rPr>
        <w:t>ria</w:t>
      </w:r>
      <w:r w:rsidR="00B14E3F" w:rsidRPr="00A02C48">
        <w:rPr>
          <w:rFonts w:asciiTheme="minorHAnsi" w:hAnsiTheme="minorHAnsi"/>
          <w:szCs w:val="24"/>
        </w:rPr>
        <w:t xml:space="preserve"> and evidence. </w:t>
      </w:r>
    </w:p>
    <w:p w14:paraId="6686EDE7" w14:textId="5BAC11A9" w:rsidR="00BE5E9F" w:rsidRPr="008C7C82" w:rsidRDefault="00CC4821" w:rsidP="008C7C82">
      <w:pPr>
        <w:pStyle w:val="BodyText"/>
        <w:rPr>
          <w:rFonts w:ascii="Calibri" w:hAnsi="Calibri"/>
          <w:szCs w:val="24"/>
        </w:rPr>
      </w:pPr>
      <w:r>
        <w:rPr>
          <w:rFonts w:asciiTheme="minorHAnsi" w:hAnsiTheme="minorHAnsi"/>
          <w:szCs w:val="24"/>
        </w:rPr>
        <w:t>Approved regulator</w:t>
      </w:r>
      <w:r w:rsidR="00D53A0B" w:rsidRPr="006B4671">
        <w:rPr>
          <w:rFonts w:asciiTheme="minorHAnsi" w:hAnsiTheme="minorHAnsi"/>
          <w:szCs w:val="24"/>
        </w:rPr>
        <w:t xml:space="preserve">s should consider the </w:t>
      </w:r>
      <w:r w:rsidR="000A6C6A">
        <w:rPr>
          <w:rFonts w:asciiTheme="minorHAnsi" w:hAnsiTheme="minorHAnsi"/>
          <w:szCs w:val="24"/>
        </w:rPr>
        <w:t xml:space="preserve">Rules </w:t>
      </w:r>
      <w:r w:rsidR="00C01D48">
        <w:rPr>
          <w:rFonts w:asciiTheme="minorHAnsi" w:hAnsiTheme="minorHAnsi"/>
          <w:szCs w:val="24"/>
        </w:rPr>
        <w:t xml:space="preserve">and </w:t>
      </w:r>
      <w:r w:rsidR="00D53A0B" w:rsidRPr="006B4671">
        <w:rPr>
          <w:rFonts w:asciiTheme="minorHAnsi" w:hAnsiTheme="minorHAnsi"/>
          <w:szCs w:val="24"/>
        </w:rPr>
        <w:t>Guidance when completing this proforma</w:t>
      </w:r>
      <w:r w:rsidR="00F94AE8" w:rsidRPr="00C92BB0">
        <w:rPr>
          <w:rFonts w:ascii="Calibri" w:hAnsi="Calibri"/>
          <w:szCs w:val="24"/>
        </w:rPr>
        <w:t>.</w:t>
      </w:r>
      <w:r w:rsidR="00966AE0" w:rsidRPr="00C92BB0">
        <w:rPr>
          <w:rFonts w:ascii="Calibri" w:hAnsi="Calibri"/>
          <w:szCs w:val="24"/>
        </w:rPr>
        <w:t xml:space="preserve"> </w:t>
      </w:r>
      <w:r w:rsidR="00F1077B" w:rsidRPr="00AB566E">
        <w:rPr>
          <w:rFonts w:ascii="Calibri" w:hAnsi="Calibri"/>
          <w:szCs w:val="24"/>
        </w:rPr>
        <w:t>In case of conflict</w:t>
      </w:r>
      <w:r w:rsidR="00646D71">
        <w:rPr>
          <w:rFonts w:ascii="Calibri" w:hAnsi="Calibri"/>
          <w:szCs w:val="24"/>
        </w:rPr>
        <w:t>,</w:t>
      </w:r>
      <w:r w:rsidR="00F1077B" w:rsidRPr="00AB566E">
        <w:rPr>
          <w:rFonts w:ascii="Calibri" w:hAnsi="Calibri"/>
          <w:szCs w:val="24"/>
        </w:rPr>
        <w:t xml:space="preserve"> the </w:t>
      </w:r>
      <w:r w:rsidR="000E4A23" w:rsidRPr="00AB566E">
        <w:rPr>
          <w:rFonts w:ascii="Calibri" w:hAnsi="Calibri"/>
          <w:szCs w:val="24"/>
        </w:rPr>
        <w:t>Rules and Guidance prevail</w:t>
      </w:r>
      <w:r w:rsidR="00F1077B" w:rsidRPr="00AB566E">
        <w:rPr>
          <w:rFonts w:ascii="Calibri" w:hAnsi="Calibri"/>
          <w:szCs w:val="24"/>
        </w:rPr>
        <w:t>.</w:t>
      </w:r>
    </w:p>
    <w:p w14:paraId="6161A835" w14:textId="7CA2D0E7" w:rsidR="00893106" w:rsidRPr="00910CA0" w:rsidRDefault="00893106" w:rsidP="00893106">
      <w:pPr>
        <w:pStyle w:val="BodyText"/>
        <w:rPr>
          <w:rFonts w:asciiTheme="minorHAnsi" w:hAnsiTheme="minorHAnsi"/>
          <w:b/>
          <w:szCs w:val="24"/>
        </w:rPr>
      </w:pPr>
      <w:r w:rsidRPr="00910CA0">
        <w:rPr>
          <w:rFonts w:asciiTheme="minorHAnsi" w:hAnsiTheme="minorHAnsi"/>
          <w:szCs w:val="24"/>
        </w:rPr>
        <w:t>This</w:t>
      </w:r>
      <w:r w:rsidR="000C6506">
        <w:rPr>
          <w:rFonts w:asciiTheme="minorHAnsi" w:hAnsiTheme="minorHAnsi"/>
          <w:szCs w:val="24"/>
        </w:rPr>
        <w:t xml:space="preserve"> proforma </w:t>
      </w:r>
      <w:r w:rsidR="0049609F">
        <w:rPr>
          <w:rFonts w:asciiTheme="minorHAnsi" w:hAnsiTheme="minorHAnsi"/>
          <w:szCs w:val="24"/>
        </w:rPr>
        <w:t>reflects</w:t>
      </w:r>
      <w:r w:rsidR="0049609F" w:rsidRPr="00910CA0">
        <w:rPr>
          <w:rFonts w:asciiTheme="minorHAnsi" w:hAnsiTheme="minorHAnsi"/>
          <w:szCs w:val="24"/>
        </w:rPr>
        <w:t xml:space="preserve"> the Rules and Guidance</w:t>
      </w:r>
      <w:r w:rsidR="0049609F" w:rsidRPr="00C92BB0">
        <w:rPr>
          <w:rFonts w:ascii="Calibri" w:hAnsi="Calibri"/>
          <w:szCs w:val="24"/>
        </w:rPr>
        <w:t xml:space="preserve"> </w:t>
      </w:r>
      <w:r w:rsidR="0049609F">
        <w:rPr>
          <w:rFonts w:ascii="Calibri" w:hAnsi="Calibri"/>
          <w:szCs w:val="24"/>
        </w:rPr>
        <w:t xml:space="preserve">and </w:t>
      </w:r>
      <w:r w:rsidR="000C6506" w:rsidRPr="00C92BB0">
        <w:rPr>
          <w:rFonts w:ascii="Calibri" w:hAnsi="Calibri"/>
          <w:szCs w:val="24"/>
        </w:rPr>
        <w:t xml:space="preserve">does not </w:t>
      </w:r>
      <w:r w:rsidR="000C6506">
        <w:rPr>
          <w:rFonts w:ascii="Calibri" w:hAnsi="Calibri"/>
          <w:szCs w:val="24"/>
        </w:rPr>
        <w:t xml:space="preserve">impose new </w:t>
      </w:r>
      <w:r w:rsidR="0049609F">
        <w:rPr>
          <w:rFonts w:ascii="Calibri" w:hAnsi="Calibri"/>
          <w:szCs w:val="24"/>
        </w:rPr>
        <w:t xml:space="preserve">information </w:t>
      </w:r>
      <w:r w:rsidR="000C6506">
        <w:rPr>
          <w:rFonts w:ascii="Calibri" w:hAnsi="Calibri"/>
          <w:szCs w:val="24"/>
        </w:rPr>
        <w:t xml:space="preserve">requirements.  </w:t>
      </w:r>
      <w:r w:rsidR="00D67134">
        <w:rPr>
          <w:rFonts w:asciiTheme="minorHAnsi" w:hAnsiTheme="minorHAnsi"/>
          <w:szCs w:val="24"/>
        </w:rPr>
        <w:t xml:space="preserve">Section I </w:t>
      </w:r>
      <w:r w:rsidRPr="00910CA0">
        <w:rPr>
          <w:rFonts w:asciiTheme="minorHAnsi" w:hAnsiTheme="minorHAnsi"/>
          <w:szCs w:val="24"/>
        </w:rPr>
        <w:t xml:space="preserve">sets out the </w:t>
      </w:r>
      <w:r w:rsidR="00CB0669">
        <w:rPr>
          <w:rFonts w:asciiTheme="minorHAnsi" w:hAnsiTheme="minorHAnsi"/>
          <w:szCs w:val="24"/>
        </w:rPr>
        <w:t>overview and summary information</w:t>
      </w:r>
      <w:r w:rsidR="00D67134">
        <w:rPr>
          <w:rFonts w:asciiTheme="minorHAnsi" w:hAnsiTheme="minorHAnsi"/>
          <w:szCs w:val="24"/>
        </w:rPr>
        <w:t xml:space="preserve">, and </w:t>
      </w:r>
      <w:r w:rsidR="00732DB5">
        <w:rPr>
          <w:rFonts w:asciiTheme="minorHAnsi" w:hAnsiTheme="minorHAnsi"/>
          <w:szCs w:val="24"/>
        </w:rPr>
        <w:t>II</w:t>
      </w:r>
      <w:r w:rsidR="00D67134">
        <w:rPr>
          <w:rFonts w:asciiTheme="minorHAnsi" w:hAnsiTheme="minorHAnsi"/>
          <w:szCs w:val="24"/>
        </w:rPr>
        <w:t xml:space="preserve"> to VI</w:t>
      </w:r>
      <w:r w:rsidR="00CB0669">
        <w:rPr>
          <w:rFonts w:asciiTheme="minorHAnsi" w:hAnsiTheme="minorHAnsi"/>
          <w:szCs w:val="24"/>
        </w:rPr>
        <w:t xml:space="preserve"> the </w:t>
      </w:r>
      <w:r w:rsidR="00732DB5">
        <w:rPr>
          <w:rFonts w:asciiTheme="minorHAnsi" w:hAnsiTheme="minorHAnsi"/>
          <w:szCs w:val="24"/>
        </w:rPr>
        <w:t xml:space="preserve">specific </w:t>
      </w:r>
      <w:r w:rsidRPr="00910CA0">
        <w:rPr>
          <w:rFonts w:asciiTheme="minorHAnsi" w:hAnsiTheme="minorHAnsi"/>
          <w:szCs w:val="24"/>
        </w:rPr>
        <w:t xml:space="preserve">categories of information </w:t>
      </w:r>
      <w:r w:rsidR="00732DB5">
        <w:rPr>
          <w:rFonts w:asciiTheme="minorHAnsi" w:hAnsiTheme="minorHAnsi"/>
          <w:szCs w:val="24"/>
        </w:rPr>
        <w:t xml:space="preserve">(with </w:t>
      </w:r>
      <w:r w:rsidR="00732DB5" w:rsidRPr="00910CA0">
        <w:rPr>
          <w:rFonts w:asciiTheme="minorHAnsi" w:hAnsiTheme="minorHAnsi"/>
          <w:szCs w:val="24"/>
        </w:rPr>
        <w:t>reference</w:t>
      </w:r>
      <w:r w:rsidR="00732DB5">
        <w:rPr>
          <w:rFonts w:asciiTheme="minorHAnsi" w:hAnsiTheme="minorHAnsi"/>
          <w:szCs w:val="24"/>
        </w:rPr>
        <w:t>s</w:t>
      </w:r>
      <w:r w:rsidR="00732DB5" w:rsidRPr="00910CA0">
        <w:rPr>
          <w:rFonts w:asciiTheme="minorHAnsi" w:hAnsiTheme="minorHAnsi"/>
          <w:szCs w:val="24"/>
        </w:rPr>
        <w:t xml:space="preserve"> to the relevant Rules</w:t>
      </w:r>
      <w:r w:rsidR="00447667">
        <w:rPr>
          <w:rFonts w:asciiTheme="minorHAnsi" w:hAnsiTheme="minorHAnsi"/>
          <w:szCs w:val="24"/>
        </w:rPr>
        <w:t>) that</w:t>
      </w:r>
      <w:r w:rsidR="00572F6D">
        <w:rPr>
          <w:rFonts w:asciiTheme="minorHAnsi" w:hAnsiTheme="minorHAnsi"/>
          <w:szCs w:val="24"/>
        </w:rPr>
        <w:t xml:space="preserve"> </w:t>
      </w:r>
      <w:r w:rsidRPr="00910CA0">
        <w:rPr>
          <w:rFonts w:asciiTheme="minorHAnsi" w:hAnsiTheme="minorHAnsi"/>
          <w:szCs w:val="24"/>
        </w:rPr>
        <w:t xml:space="preserve">approved regulators </w:t>
      </w:r>
      <w:r w:rsidR="00732DB5">
        <w:rPr>
          <w:rFonts w:asciiTheme="minorHAnsi" w:hAnsiTheme="minorHAnsi"/>
          <w:szCs w:val="24"/>
        </w:rPr>
        <w:t xml:space="preserve">must provide </w:t>
      </w:r>
      <w:r w:rsidRPr="00910CA0">
        <w:rPr>
          <w:rFonts w:asciiTheme="minorHAnsi" w:hAnsiTheme="minorHAnsi"/>
          <w:szCs w:val="24"/>
        </w:rPr>
        <w:t xml:space="preserve">when </w:t>
      </w:r>
      <w:r w:rsidRPr="00910CA0">
        <w:rPr>
          <w:rFonts w:asciiTheme="minorHAnsi" w:hAnsiTheme="minorHAnsi"/>
          <w:color w:val="000000"/>
          <w:szCs w:val="24"/>
        </w:rPr>
        <w:t>submitting a PCF application</w:t>
      </w:r>
      <w:r w:rsidR="00BA5BA8">
        <w:rPr>
          <w:rFonts w:asciiTheme="minorHAnsi" w:hAnsiTheme="minorHAnsi"/>
          <w:color w:val="000000"/>
          <w:szCs w:val="24"/>
        </w:rPr>
        <w:t>,</w:t>
      </w:r>
      <w:r w:rsidRPr="00910CA0">
        <w:rPr>
          <w:rFonts w:asciiTheme="minorHAnsi" w:hAnsiTheme="minorHAnsi"/>
          <w:color w:val="000000"/>
          <w:szCs w:val="24"/>
        </w:rPr>
        <w:t xml:space="preserve"> </w:t>
      </w:r>
      <w:r w:rsidRPr="00910CA0">
        <w:rPr>
          <w:rFonts w:asciiTheme="minorHAnsi" w:hAnsiTheme="minorHAnsi"/>
          <w:szCs w:val="24"/>
        </w:rPr>
        <w:t xml:space="preserve">to enable the LSB to assess the application, </w:t>
      </w:r>
      <w:r w:rsidR="00CB0669">
        <w:rPr>
          <w:rFonts w:asciiTheme="minorHAnsi" w:hAnsiTheme="minorHAnsi"/>
          <w:szCs w:val="24"/>
        </w:rPr>
        <w:t>as applicable</w:t>
      </w:r>
      <w:r w:rsidR="00EE25C8">
        <w:rPr>
          <w:rFonts w:asciiTheme="minorHAnsi" w:hAnsiTheme="minorHAnsi"/>
          <w:szCs w:val="24"/>
        </w:rPr>
        <w:t>.</w:t>
      </w:r>
      <w:r w:rsidR="00447667">
        <w:rPr>
          <w:rFonts w:asciiTheme="minorHAnsi" w:hAnsiTheme="minorHAnsi"/>
          <w:szCs w:val="24"/>
        </w:rPr>
        <w:t xml:space="preserve"> Sections VII to VIII allow for the submission of supporting materials and the provision of contact details, respectively.</w:t>
      </w:r>
    </w:p>
    <w:p w14:paraId="7A7EEBAB" w14:textId="51BCE5D6" w:rsidR="003F3D8F" w:rsidRPr="00C92BB0" w:rsidRDefault="00BF33D6" w:rsidP="006B4671">
      <w:pPr>
        <w:pStyle w:val="BodyText"/>
        <w:rPr>
          <w:rFonts w:ascii="Calibri" w:hAnsi="Calibri"/>
          <w:szCs w:val="24"/>
        </w:rPr>
      </w:pPr>
      <w:r>
        <w:rPr>
          <w:rFonts w:ascii="Calibri" w:hAnsi="Calibri"/>
          <w:szCs w:val="24"/>
        </w:rPr>
        <w:t xml:space="preserve">The proforma is intended </w:t>
      </w:r>
      <w:r w:rsidR="00C92BB0" w:rsidRPr="00C92BB0">
        <w:rPr>
          <w:rFonts w:ascii="Calibri" w:hAnsi="Calibri"/>
          <w:szCs w:val="24"/>
        </w:rPr>
        <w:t>to ensure all PCF a</w:t>
      </w:r>
      <w:r w:rsidR="00245E96">
        <w:rPr>
          <w:rFonts w:ascii="Calibri" w:hAnsi="Calibri"/>
          <w:szCs w:val="24"/>
        </w:rPr>
        <w:t xml:space="preserve">pplications </w:t>
      </w:r>
      <w:r w:rsidR="00732DB5">
        <w:rPr>
          <w:rFonts w:ascii="Calibri" w:hAnsi="Calibri"/>
          <w:szCs w:val="24"/>
        </w:rPr>
        <w:t>are consistent</w:t>
      </w:r>
      <w:r w:rsidR="0049609F">
        <w:rPr>
          <w:rFonts w:ascii="Calibri" w:hAnsi="Calibri"/>
          <w:szCs w:val="24"/>
        </w:rPr>
        <w:t xml:space="preserve"> and </w:t>
      </w:r>
      <w:r w:rsidR="00910CA0">
        <w:rPr>
          <w:rFonts w:ascii="Calibri" w:hAnsi="Calibri"/>
          <w:szCs w:val="24"/>
        </w:rPr>
        <w:t xml:space="preserve">contain </w:t>
      </w:r>
      <w:r w:rsidR="00180012">
        <w:rPr>
          <w:rFonts w:ascii="Calibri" w:hAnsi="Calibri"/>
          <w:szCs w:val="24"/>
        </w:rPr>
        <w:t xml:space="preserve">the necessary </w:t>
      </w:r>
      <w:r w:rsidR="00245E96">
        <w:rPr>
          <w:rFonts w:ascii="Calibri" w:hAnsi="Calibri"/>
          <w:szCs w:val="24"/>
        </w:rPr>
        <w:t>level of detail</w:t>
      </w:r>
      <w:r w:rsidR="00910CA0">
        <w:rPr>
          <w:rFonts w:ascii="Calibri" w:hAnsi="Calibri"/>
          <w:szCs w:val="24"/>
        </w:rPr>
        <w:t>,</w:t>
      </w:r>
      <w:r w:rsidR="00245E96">
        <w:rPr>
          <w:rFonts w:ascii="Calibri" w:hAnsi="Calibri"/>
          <w:szCs w:val="24"/>
        </w:rPr>
        <w:t xml:space="preserve"> transparency and clarity</w:t>
      </w:r>
      <w:r w:rsidR="00910CA0">
        <w:rPr>
          <w:rFonts w:ascii="Calibri" w:hAnsi="Calibri"/>
          <w:szCs w:val="24"/>
        </w:rPr>
        <w:t xml:space="preserve"> </w:t>
      </w:r>
      <w:r w:rsidR="00732DB5">
        <w:rPr>
          <w:rFonts w:ascii="Calibri" w:hAnsi="Calibri"/>
          <w:szCs w:val="24"/>
        </w:rPr>
        <w:t>in compliance</w:t>
      </w:r>
      <w:r w:rsidR="00910CA0">
        <w:rPr>
          <w:rFonts w:ascii="Calibri" w:hAnsi="Calibri"/>
          <w:szCs w:val="24"/>
        </w:rPr>
        <w:t xml:space="preserve"> with the Rules</w:t>
      </w:r>
      <w:r w:rsidR="00C92BB0" w:rsidRPr="00C92BB0">
        <w:rPr>
          <w:rFonts w:ascii="Calibri" w:hAnsi="Calibri"/>
          <w:szCs w:val="24"/>
        </w:rPr>
        <w:t xml:space="preserve">. The aim is to ensure the PCF application process is more </w:t>
      </w:r>
      <w:r w:rsidR="000E4A23">
        <w:rPr>
          <w:rFonts w:ascii="Calibri" w:hAnsi="Calibri"/>
          <w:szCs w:val="24"/>
        </w:rPr>
        <w:t>transparent,</w:t>
      </w:r>
      <w:r w:rsidR="00C01D48">
        <w:rPr>
          <w:rFonts w:ascii="Calibri" w:hAnsi="Calibri"/>
          <w:szCs w:val="24"/>
        </w:rPr>
        <w:t xml:space="preserve"> consistent</w:t>
      </w:r>
      <w:r w:rsidR="00C92BB0" w:rsidRPr="00C92BB0">
        <w:rPr>
          <w:rFonts w:ascii="Calibri" w:hAnsi="Calibri"/>
          <w:szCs w:val="24"/>
        </w:rPr>
        <w:t xml:space="preserve"> and less resource inte</w:t>
      </w:r>
      <w:r w:rsidR="00CC4821">
        <w:rPr>
          <w:rFonts w:ascii="Calibri" w:hAnsi="Calibri"/>
          <w:szCs w:val="24"/>
        </w:rPr>
        <w:t>nsive for approved regulators</w:t>
      </w:r>
      <w:r w:rsidR="00245E96">
        <w:rPr>
          <w:rFonts w:ascii="Calibri" w:hAnsi="Calibri"/>
          <w:szCs w:val="24"/>
        </w:rPr>
        <w:t xml:space="preserve"> and the LSB</w:t>
      </w:r>
      <w:r w:rsidR="000A6C6A">
        <w:rPr>
          <w:rFonts w:ascii="Calibri" w:hAnsi="Calibri"/>
          <w:szCs w:val="24"/>
        </w:rPr>
        <w:t>.</w:t>
      </w:r>
      <w:r w:rsidR="00C92BB0" w:rsidRPr="00C92BB0">
        <w:rPr>
          <w:rFonts w:ascii="Calibri" w:hAnsi="Calibri"/>
          <w:szCs w:val="24"/>
        </w:rPr>
        <w:t xml:space="preserve"> </w:t>
      </w:r>
    </w:p>
    <w:p w14:paraId="7223E6F8" w14:textId="77777777" w:rsidR="00563973" w:rsidRPr="00F94AE8" w:rsidRDefault="008465E2" w:rsidP="00563973">
      <w:pPr>
        <w:pStyle w:val="BodyText"/>
        <w:rPr>
          <w:rFonts w:asciiTheme="minorHAnsi" w:hAnsiTheme="minorHAnsi"/>
          <w:b/>
        </w:rPr>
      </w:pPr>
      <w:r w:rsidRPr="00465482">
        <w:rPr>
          <w:rFonts w:asciiTheme="minorHAnsi" w:hAnsiTheme="minorHAnsi"/>
        </w:rPr>
        <w:lastRenderedPageBreak/>
        <w:t xml:space="preserve">The text of section 51 of the Act </w:t>
      </w:r>
      <w:r w:rsidR="00563973" w:rsidRPr="00465482">
        <w:rPr>
          <w:rFonts w:asciiTheme="minorHAnsi" w:hAnsiTheme="minorHAnsi"/>
        </w:rPr>
        <w:t xml:space="preserve">together with the </w:t>
      </w:r>
      <w:r w:rsidRPr="00465482">
        <w:rPr>
          <w:rFonts w:asciiTheme="minorHAnsi" w:hAnsiTheme="minorHAnsi"/>
        </w:rPr>
        <w:t>Rules and</w:t>
      </w:r>
      <w:r w:rsidR="003F3D8F">
        <w:rPr>
          <w:rFonts w:asciiTheme="minorHAnsi" w:hAnsiTheme="minorHAnsi"/>
        </w:rPr>
        <w:t xml:space="preserve"> Guidance</w:t>
      </w:r>
      <w:r w:rsidRPr="00465482">
        <w:rPr>
          <w:rFonts w:asciiTheme="minorHAnsi" w:hAnsiTheme="minorHAnsi"/>
        </w:rPr>
        <w:t xml:space="preserve"> can be found on the </w:t>
      </w:r>
      <w:hyperlink r:id="rId9" w:history="1">
        <w:r w:rsidRPr="00FF7676">
          <w:rPr>
            <w:rStyle w:val="Hyperlink"/>
            <w:rFonts w:asciiTheme="minorHAnsi" w:hAnsiTheme="minorHAnsi"/>
          </w:rPr>
          <w:t>LSB’s webpages</w:t>
        </w:r>
      </w:hyperlink>
      <w:r w:rsidR="00FF7676">
        <w:rPr>
          <w:rFonts w:asciiTheme="minorHAnsi" w:hAnsiTheme="minorHAnsi"/>
        </w:rPr>
        <w:t>.</w:t>
      </w:r>
    </w:p>
    <w:p w14:paraId="6660AF01" w14:textId="77777777" w:rsidR="00245E96" w:rsidRDefault="00F94AE8" w:rsidP="00245E96">
      <w:pPr>
        <w:pStyle w:val="BodyText"/>
        <w:rPr>
          <w:rFonts w:asciiTheme="minorHAnsi" w:hAnsiTheme="minorHAnsi"/>
        </w:rPr>
      </w:pPr>
      <w:r w:rsidRPr="00F94AE8">
        <w:rPr>
          <w:rFonts w:asciiTheme="minorHAnsi" w:hAnsiTheme="minorHAnsi"/>
        </w:rPr>
        <w:t xml:space="preserve">The </w:t>
      </w:r>
      <w:r w:rsidR="00FF7676">
        <w:rPr>
          <w:rFonts w:asciiTheme="minorHAnsi" w:hAnsiTheme="minorHAnsi"/>
        </w:rPr>
        <w:t>approved regulator</w:t>
      </w:r>
      <w:r w:rsidRPr="00F94AE8">
        <w:rPr>
          <w:rFonts w:asciiTheme="minorHAnsi" w:hAnsiTheme="minorHAnsi"/>
        </w:rPr>
        <w:t xml:space="preserve"> submitting the proforma takes responsibility for the accuracy and co</w:t>
      </w:r>
      <w:r w:rsidR="00245E96">
        <w:rPr>
          <w:rFonts w:asciiTheme="minorHAnsi" w:hAnsiTheme="minorHAnsi"/>
        </w:rPr>
        <w:t xml:space="preserve">mpleteness of the information. </w:t>
      </w:r>
    </w:p>
    <w:p w14:paraId="26269D65" w14:textId="77777777" w:rsidR="0080184A" w:rsidRDefault="00563555" w:rsidP="00CC4821">
      <w:pPr>
        <w:pStyle w:val="BodyText"/>
        <w:rPr>
          <w:rFonts w:asciiTheme="minorHAnsi" w:hAnsiTheme="minorHAnsi"/>
          <w:b/>
          <w:i/>
        </w:rPr>
      </w:pPr>
      <w:r>
        <w:rPr>
          <w:rFonts w:asciiTheme="minorHAnsi" w:hAnsiTheme="minorHAnsi"/>
        </w:rPr>
        <w:t>As set out in the Guidance</w:t>
      </w:r>
      <w:r w:rsidR="00BA0B0D">
        <w:rPr>
          <w:rStyle w:val="FootnoteReference"/>
        </w:rPr>
        <w:footnoteReference w:id="2"/>
      </w:r>
      <w:r w:rsidR="00BE5E9F">
        <w:rPr>
          <w:rFonts w:asciiTheme="minorHAnsi" w:hAnsiTheme="minorHAnsi"/>
        </w:rPr>
        <w:t>, we would encourage approved regulator</w:t>
      </w:r>
      <w:r>
        <w:rPr>
          <w:rFonts w:asciiTheme="minorHAnsi" w:hAnsiTheme="minorHAnsi"/>
        </w:rPr>
        <w:t xml:space="preserve">s to engage </w:t>
      </w:r>
      <w:r w:rsidR="00BA0B0D">
        <w:rPr>
          <w:rFonts w:asciiTheme="minorHAnsi" w:hAnsiTheme="minorHAnsi"/>
        </w:rPr>
        <w:t>in early pre-application discussions with the LSB to discuss any issues arising before the application is submitted.</w:t>
      </w:r>
    </w:p>
    <w:p w14:paraId="3270F1FA" w14:textId="77777777" w:rsidR="00CC4821" w:rsidRPr="00CC4821" w:rsidRDefault="00CC4821" w:rsidP="00CC4821">
      <w:pPr>
        <w:pStyle w:val="BodyText"/>
        <w:numPr>
          <w:ilvl w:val="0"/>
          <w:numId w:val="0"/>
        </w:numPr>
        <w:rPr>
          <w:rFonts w:asciiTheme="minorHAnsi" w:hAnsiTheme="minorHAnsi"/>
          <w:b/>
        </w:rPr>
      </w:pPr>
      <w:r w:rsidRPr="00CC4821">
        <w:rPr>
          <w:rFonts w:asciiTheme="minorHAnsi" w:hAnsiTheme="minorHAnsi"/>
          <w:b/>
        </w:rPr>
        <w:t>Confidential or commercially sensitive information</w:t>
      </w:r>
    </w:p>
    <w:p w14:paraId="31FFC5D5" w14:textId="77777777" w:rsidR="00BE5E9F" w:rsidRPr="00966AE0" w:rsidRDefault="00CC4821" w:rsidP="003C45DF">
      <w:pPr>
        <w:pStyle w:val="BodyText"/>
        <w:rPr>
          <w:rFonts w:ascii="Calibri" w:hAnsi="Calibri"/>
          <w:b/>
          <w:szCs w:val="24"/>
        </w:rPr>
      </w:pPr>
      <w:r>
        <w:rPr>
          <w:rFonts w:ascii="Calibri" w:hAnsi="Calibri"/>
          <w:szCs w:val="24"/>
        </w:rPr>
        <w:t xml:space="preserve">If any information submitted </w:t>
      </w:r>
      <w:r w:rsidR="00893106">
        <w:rPr>
          <w:rFonts w:ascii="Calibri" w:hAnsi="Calibri"/>
          <w:szCs w:val="24"/>
        </w:rPr>
        <w:t xml:space="preserve">as part of the PCF application </w:t>
      </w:r>
      <w:r w:rsidR="00BE5E9F">
        <w:rPr>
          <w:rFonts w:ascii="Calibri" w:hAnsi="Calibri"/>
          <w:szCs w:val="24"/>
        </w:rPr>
        <w:t xml:space="preserve">is considered </w:t>
      </w:r>
      <w:r>
        <w:rPr>
          <w:rFonts w:ascii="Calibri" w:hAnsi="Calibri"/>
          <w:szCs w:val="24"/>
        </w:rPr>
        <w:t xml:space="preserve">by the approved regulator to be </w:t>
      </w:r>
      <w:r w:rsidR="00BE5E9F">
        <w:rPr>
          <w:rFonts w:ascii="Calibri" w:hAnsi="Calibri"/>
          <w:szCs w:val="24"/>
        </w:rPr>
        <w:t>confidential or commercially sensitive</w:t>
      </w:r>
      <w:r>
        <w:rPr>
          <w:rFonts w:ascii="Calibri" w:hAnsi="Calibri"/>
          <w:szCs w:val="24"/>
        </w:rPr>
        <w:t xml:space="preserve">, please indicate this and provide reasons. </w:t>
      </w:r>
      <w:r w:rsidR="00BE5E9F">
        <w:rPr>
          <w:rFonts w:ascii="Calibri" w:hAnsi="Calibri"/>
          <w:szCs w:val="24"/>
        </w:rPr>
        <w:t xml:space="preserve"> </w:t>
      </w:r>
    </w:p>
    <w:p w14:paraId="3C555731" w14:textId="77777777" w:rsidR="00563973" w:rsidRDefault="00563973" w:rsidP="00245E96">
      <w:pPr>
        <w:pStyle w:val="BodyText"/>
        <w:numPr>
          <w:ilvl w:val="0"/>
          <w:numId w:val="0"/>
        </w:numPr>
        <w:ind w:left="720"/>
        <w:rPr>
          <w:rFonts w:asciiTheme="minorHAnsi" w:hAnsiTheme="minorHAnsi"/>
        </w:rPr>
      </w:pPr>
    </w:p>
    <w:p w14:paraId="30FED256" w14:textId="77777777" w:rsidR="0088067A" w:rsidRDefault="0088067A" w:rsidP="00245E96">
      <w:pPr>
        <w:pStyle w:val="BodyText"/>
        <w:numPr>
          <w:ilvl w:val="0"/>
          <w:numId w:val="0"/>
        </w:numPr>
        <w:ind w:left="720"/>
        <w:rPr>
          <w:rFonts w:asciiTheme="minorHAnsi" w:hAnsiTheme="minorHAnsi"/>
        </w:rPr>
      </w:pPr>
    </w:p>
    <w:p w14:paraId="3AD7F76C" w14:textId="77777777" w:rsidR="0088067A" w:rsidRDefault="0088067A" w:rsidP="00245E96">
      <w:pPr>
        <w:pStyle w:val="BodyText"/>
        <w:numPr>
          <w:ilvl w:val="0"/>
          <w:numId w:val="0"/>
        </w:numPr>
        <w:ind w:left="720"/>
        <w:rPr>
          <w:rFonts w:asciiTheme="minorHAnsi" w:hAnsiTheme="minorHAnsi"/>
        </w:rPr>
      </w:pPr>
    </w:p>
    <w:p w14:paraId="0A3BBD55" w14:textId="77777777" w:rsidR="0088067A" w:rsidRDefault="0088067A" w:rsidP="00245E96">
      <w:pPr>
        <w:pStyle w:val="BodyText"/>
        <w:numPr>
          <w:ilvl w:val="0"/>
          <w:numId w:val="0"/>
        </w:numPr>
        <w:ind w:left="720"/>
        <w:rPr>
          <w:rFonts w:asciiTheme="minorHAnsi" w:hAnsiTheme="minorHAnsi"/>
        </w:rPr>
      </w:pPr>
    </w:p>
    <w:p w14:paraId="30DB2A37" w14:textId="77777777" w:rsidR="0088067A" w:rsidRDefault="0088067A" w:rsidP="00245E96">
      <w:pPr>
        <w:pStyle w:val="BodyText"/>
        <w:numPr>
          <w:ilvl w:val="0"/>
          <w:numId w:val="0"/>
        </w:numPr>
        <w:ind w:left="720"/>
        <w:rPr>
          <w:rFonts w:asciiTheme="minorHAnsi" w:hAnsiTheme="minorHAnsi"/>
        </w:rPr>
      </w:pPr>
    </w:p>
    <w:p w14:paraId="62EF4CA1" w14:textId="77777777" w:rsidR="0088067A" w:rsidRDefault="0088067A" w:rsidP="00245E96">
      <w:pPr>
        <w:pStyle w:val="BodyText"/>
        <w:numPr>
          <w:ilvl w:val="0"/>
          <w:numId w:val="0"/>
        </w:numPr>
        <w:ind w:left="720"/>
        <w:rPr>
          <w:rFonts w:asciiTheme="minorHAnsi" w:hAnsiTheme="minorHAnsi"/>
        </w:rPr>
      </w:pPr>
    </w:p>
    <w:p w14:paraId="115BB5BA" w14:textId="77777777" w:rsidR="0088067A" w:rsidRDefault="0088067A" w:rsidP="00245E96">
      <w:pPr>
        <w:pStyle w:val="BodyText"/>
        <w:numPr>
          <w:ilvl w:val="0"/>
          <w:numId w:val="0"/>
        </w:numPr>
        <w:ind w:left="720"/>
        <w:rPr>
          <w:rFonts w:asciiTheme="minorHAnsi" w:hAnsiTheme="minorHAnsi"/>
        </w:rPr>
      </w:pPr>
    </w:p>
    <w:p w14:paraId="06575001" w14:textId="77777777" w:rsidR="0088067A" w:rsidRDefault="0088067A" w:rsidP="00245E96">
      <w:pPr>
        <w:pStyle w:val="BodyText"/>
        <w:numPr>
          <w:ilvl w:val="0"/>
          <w:numId w:val="0"/>
        </w:numPr>
        <w:ind w:left="720"/>
        <w:rPr>
          <w:rFonts w:asciiTheme="minorHAnsi" w:hAnsiTheme="minorHAnsi"/>
        </w:rPr>
      </w:pPr>
    </w:p>
    <w:p w14:paraId="5EA4E903" w14:textId="77777777" w:rsidR="0088067A" w:rsidRDefault="0088067A" w:rsidP="00245E96">
      <w:pPr>
        <w:pStyle w:val="BodyText"/>
        <w:numPr>
          <w:ilvl w:val="0"/>
          <w:numId w:val="0"/>
        </w:numPr>
        <w:ind w:left="720"/>
        <w:rPr>
          <w:rFonts w:asciiTheme="minorHAnsi" w:hAnsiTheme="minorHAnsi"/>
        </w:rPr>
      </w:pPr>
    </w:p>
    <w:p w14:paraId="778C1032" w14:textId="77777777" w:rsidR="0088067A" w:rsidRDefault="0088067A" w:rsidP="00245E96">
      <w:pPr>
        <w:pStyle w:val="BodyText"/>
        <w:numPr>
          <w:ilvl w:val="0"/>
          <w:numId w:val="0"/>
        </w:numPr>
        <w:ind w:left="720"/>
        <w:rPr>
          <w:rFonts w:asciiTheme="minorHAnsi" w:hAnsiTheme="minorHAnsi"/>
        </w:rPr>
      </w:pPr>
    </w:p>
    <w:p w14:paraId="535654E2" w14:textId="77777777" w:rsidR="0088067A" w:rsidRDefault="0088067A" w:rsidP="00244162">
      <w:pPr>
        <w:pStyle w:val="BodyText"/>
        <w:numPr>
          <w:ilvl w:val="0"/>
          <w:numId w:val="0"/>
        </w:numPr>
        <w:rPr>
          <w:rFonts w:asciiTheme="minorHAnsi" w:hAnsiTheme="minorHAnsi"/>
        </w:rPr>
      </w:pPr>
    </w:p>
    <w:p w14:paraId="320352B8" w14:textId="77777777" w:rsidR="0088067A" w:rsidRDefault="0088067A" w:rsidP="00F1142C">
      <w:pPr>
        <w:pStyle w:val="BodyText"/>
        <w:numPr>
          <w:ilvl w:val="0"/>
          <w:numId w:val="0"/>
        </w:numPr>
        <w:rPr>
          <w:rFonts w:asciiTheme="minorHAnsi" w:hAnsiTheme="minorHAnsi"/>
        </w:rPr>
      </w:pPr>
    </w:p>
    <w:p w14:paraId="6B2847B5" w14:textId="77777777" w:rsidR="009301E3" w:rsidRDefault="009301E3" w:rsidP="00244162">
      <w:pPr>
        <w:pStyle w:val="BodyText"/>
        <w:numPr>
          <w:ilvl w:val="0"/>
          <w:numId w:val="0"/>
        </w:numPr>
        <w:ind w:left="720" w:hanging="720"/>
        <w:rPr>
          <w:rFonts w:asciiTheme="minorHAnsi" w:hAnsiTheme="minorHAnsi"/>
          <w:b/>
        </w:rPr>
      </w:pPr>
    </w:p>
    <w:p w14:paraId="0353CCFD" w14:textId="77777777" w:rsidR="009301E3" w:rsidRDefault="009301E3" w:rsidP="00244162">
      <w:pPr>
        <w:pStyle w:val="BodyText"/>
        <w:numPr>
          <w:ilvl w:val="0"/>
          <w:numId w:val="0"/>
        </w:numPr>
        <w:ind w:left="720" w:hanging="720"/>
        <w:rPr>
          <w:rFonts w:asciiTheme="minorHAnsi" w:hAnsiTheme="minorHAnsi"/>
          <w:b/>
        </w:rPr>
      </w:pPr>
    </w:p>
    <w:p w14:paraId="448936E8" w14:textId="77777777" w:rsidR="00244162" w:rsidRDefault="0088067A" w:rsidP="00244162">
      <w:pPr>
        <w:pStyle w:val="BodyText"/>
        <w:numPr>
          <w:ilvl w:val="0"/>
          <w:numId w:val="0"/>
        </w:numPr>
        <w:ind w:left="720" w:hanging="720"/>
        <w:rPr>
          <w:rFonts w:asciiTheme="minorHAnsi" w:hAnsiTheme="minorHAnsi"/>
          <w:b/>
        </w:rPr>
      </w:pPr>
      <w:r w:rsidRPr="0088067A">
        <w:rPr>
          <w:rFonts w:asciiTheme="minorHAnsi" w:hAnsiTheme="minorHAnsi"/>
          <w:b/>
        </w:rPr>
        <w:lastRenderedPageBreak/>
        <w:t>PROFORMA</w:t>
      </w:r>
    </w:p>
    <w:tbl>
      <w:tblPr>
        <w:tblStyle w:val="TableGrid"/>
        <w:tblW w:w="11199" w:type="dxa"/>
        <w:tblInd w:w="-998" w:type="dxa"/>
        <w:tblLook w:val="04A0" w:firstRow="1" w:lastRow="0" w:firstColumn="1" w:lastColumn="0" w:noHBand="0" w:noVBand="1"/>
      </w:tblPr>
      <w:tblGrid>
        <w:gridCol w:w="11199"/>
      </w:tblGrid>
      <w:tr w:rsidR="00244162" w:rsidRPr="00141974" w14:paraId="7553ECF2" w14:textId="77777777" w:rsidTr="00244162">
        <w:tc>
          <w:tcPr>
            <w:tcW w:w="11199" w:type="dxa"/>
            <w:shd w:val="clear" w:color="auto" w:fill="D9D9D9" w:themeFill="background1" w:themeFillShade="D9"/>
          </w:tcPr>
          <w:p w14:paraId="5F0C48DB" w14:textId="77777777" w:rsidR="00244162" w:rsidRPr="00141974" w:rsidRDefault="00A11ED4" w:rsidP="00244162">
            <w:pPr>
              <w:pStyle w:val="BodyText"/>
              <w:numPr>
                <w:ilvl w:val="0"/>
                <w:numId w:val="5"/>
              </w:numPr>
              <w:rPr>
                <w:rFonts w:asciiTheme="minorHAnsi" w:hAnsiTheme="minorHAnsi"/>
                <w:b/>
              </w:rPr>
            </w:pPr>
            <w:r>
              <w:rPr>
                <w:rFonts w:asciiTheme="minorHAnsi" w:hAnsiTheme="minorHAnsi"/>
                <w:b/>
              </w:rPr>
              <w:t>S</w:t>
            </w:r>
            <w:r w:rsidR="00244162">
              <w:rPr>
                <w:rFonts w:asciiTheme="minorHAnsi" w:hAnsiTheme="minorHAnsi"/>
                <w:b/>
              </w:rPr>
              <w:t>ummary</w:t>
            </w:r>
            <w:r w:rsidR="00562187">
              <w:rPr>
                <w:rFonts w:asciiTheme="minorHAnsi" w:hAnsiTheme="minorHAnsi"/>
                <w:b/>
              </w:rPr>
              <w:t xml:space="preserve"> </w:t>
            </w:r>
            <w:r w:rsidR="00873D73">
              <w:rPr>
                <w:rFonts w:asciiTheme="minorHAnsi" w:hAnsiTheme="minorHAnsi"/>
                <w:b/>
              </w:rPr>
              <w:t>and overview</w:t>
            </w:r>
          </w:p>
        </w:tc>
      </w:tr>
      <w:tr w:rsidR="00244162" w:rsidRPr="00141974" w14:paraId="1FFAFEA4" w14:textId="77777777" w:rsidTr="00244162">
        <w:tc>
          <w:tcPr>
            <w:tcW w:w="11199" w:type="dxa"/>
            <w:shd w:val="clear" w:color="auto" w:fill="FFFFFF" w:themeFill="background1"/>
          </w:tcPr>
          <w:p w14:paraId="2FB5F5A1" w14:textId="77777777" w:rsidR="00244162" w:rsidRDefault="00A11ED4" w:rsidP="00244162">
            <w:pPr>
              <w:pStyle w:val="BodyText"/>
              <w:numPr>
                <w:ilvl w:val="0"/>
                <w:numId w:val="9"/>
              </w:numPr>
              <w:rPr>
                <w:rFonts w:asciiTheme="minorHAnsi" w:hAnsiTheme="minorHAnsi"/>
              </w:rPr>
            </w:pPr>
            <w:r>
              <w:rPr>
                <w:rFonts w:asciiTheme="minorHAnsi" w:hAnsiTheme="minorHAnsi"/>
              </w:rPr>
              <w:t xml:space="preserve">Please briefly summarise </w:t>
            </w:r>
            <w:r w:rsidR="00562187">
              <w:rPr>
                <w:rFonts w:asciiTheme="minorHAnsi" w:hAnsiTheme="minorHAnsi"/>
              </w:rPr>
              <w:t>the proposal and state whether the proposal is for an increase, decrease or no change to the PCF relative to the previous year.</w:t>
            </w:r>
          </w:p>
          <w:p w14:paraId="729CE2C0" w14:textId="77777777" w:rsidR="00873D73" w:rsidRDefault="00873D73" w:rsidP="00873D73">
            <w:pPr>
              <w:pStyle w:val="BodyText"/>
              <w:numPr>
                <w:ilvl w:val="0"/>
                <w:numId w:val="9"/>
              </w:numPr>
              <w:rPr>
                <w:rFonts w:asciiTheme="minorHAnsi" w:hAnsiTheme="minorHAnsi"/>
              </w:rPr>
            </w:pPr>
            <w:r>
              <w:rPr>
                <w:rFonts w:asciiTheme="minorHAnsi" w:hAnsiTheme="minorHAnsi"/>
              </w:rPr>
              <w:t xml:space="preserve">Please state how </w:t>
            </w:r>
            <w:r w:rsidRPr="00C475BE">
              <w:rPr>
                <w:rFonts w:asciiTheme="minorHAnsi" w:hAnsiTheme="minorHAnsi"/>
              </w:rPr>
              <w:t xml:space="preserve">the </w:t>
            </w:r>
            <w:r>
              <w:rPr>
                <w:rFonts w:asciiTheme="minorHAnsi" w:hAnsiTheme="minorHAnsi"/>
              </w:rPr>
              <w:t xml:space="preserve">current application addresses the </w:t>
            </w:r>
            <w:r w:rsidRPr="00C475BE">
              <w:rPr>
                <w:rFonts w:asciiTheme="minorHAnsi" w:hAnsiTheme="minorHAnsi"/>
              </w:rPr>
              <w:t xml:space="preserve">matters </w:t>
            </w:r>
            <w:r>
              <w:rPr>
                <w:rFonts w:asciiTheme="minorHAnsi" w:hAnsiTheme="minorHAnsi"/>
              </w:rPr>
              <w:t xml:space="preserve">(if applicable) </w:t>
            </w:r>
            <w:r w:rsidRPr="00C475BE">
              <w:rPr>
                <w:rFonts w:asciiTheme="minorHAnsi" w:hAnsiTheme="minorHAnsi"/>
              </w:rPr>
              <w:t xml:space="preserve">raised in the LSB’s decision letter approving the </w:t>
            </w:r>
            <w:r>
              <w:rPr>
                <w:rFonts w:asciiTheme="minorHAnsi" w:hAnsiTheme="minorHAnsi"/>
              </w:rPr>
              <w:t>previous year’s PCF application.</w:t>
            </w:r>
          </w:p>
          <w:p w14:paraId="02F9B9F1" w14:textId="77777777" w:rsidR="00D67134" w:rsidRPr="00F24583" w:rsidRDefault="00D67134" w:rsidP="00D67134">
            <w:pPr>
              <w:pStyle w:val="BodyText"/>
              <w:numPr>
                <w:ilvl w:val="0"/>
                <w:numId w:val="9"/>
              </w:numPr>
              <w:rPr>
                <w:rFonts w:asciiTheme="minorHAnsi" w:hAnsiTheme="minorHAnsi"/>
                <w:b/>
              </w:rPr>
            </w:pPr>
            <w:r w:rsidRPr="00C475BE">
              <w:rPr>
                <w:rFonts w:asciiTheme="minorHAnsi" w:hAnsiTheme="minorHAnsi"/>
              </w:rPr>
              <w:t>If an</w:t>
            </w:r>
            <w:r>
              <w:rPr>
                <w:rFonts w:asciiTheme="minorHAnsi" w:hAnsiTheme="minorHAnsi"/>
              </w:rPr>
              <w:t>y pre-application discussion was</w:t>
            </w:r>
            <w:r w:rsidRPr="00C475BE">
              <w:rPr>
                <w:rFonts w:asciiTheme="minorHAnsi" w:hAnsiTheme="minorHAnsi"/>
              </w:rPr>
              <w:t xml:space="preserve"> held with the LSB</w:t>
            </w:r>
            <w:r>
              <w:rPr>
                <w:rFonts w:asciiTheme="minorHAnsi" w:hAnsiTheme="minorHAnsi"/>
              </w:rPr>
              <w:t xml:space="preserve"> prior to the submission of this application</w:t>
            </w:r>
            <w:r w:rsidRPr="00C475BE">
              <w:rPr>
                <w:rFonts w:asciiTheme="minorHAnsi" w:hAnsiTheme="minorHAnsi"/>
              </w:rPr>
              <w:t>, please set out what (if any) issues were identified</w:t>
            </w:r>
            <w:r>
              <w:rPr>
                <w:rFonts w:asciiTheme="minorHAnsi" w:hAnsiTheme="minorHAnsi"/>
              </w:rPr>
              <w:t xml:space="preserve"> by the LSB</w:t>
            </w:r>
            <w:r w:rsidRPr="00C475BE">
              <w:rPr>
                <w:rFonts w:asciiTheme="minorHAnsi" w:hAnsiTheme="minorHAnsi"/>
              </w:rPr>
              <w:t xml:space="preserve"> and how this application addresses them.</w:t>
            </w:r>
          </w:p>
          <w:p w14:paraId="415F15C3" w14:textId="77777777" w:rsidR="00D67134" w:rsidRDefault="00D67134" w:rsidP="00D67134">
            <w:pPr>
              <w:pStyle w:val="BodyText"/>
              <w:numPr>
                <w:ilvl w:val="0"/>
                <w:numId w:val="0"/>
              </w:numPr>
              <w:rPr>
                <w:rFonts w:asciiTheme="minorHAnsi" w:hAnsiTheme="minorHAnsi"/>
              </w:rPr>
            </w:pPr>
          </w:p>
          <w:p w14:paraId="556446B7" w14:textId="77777777" w:rsidR="00D67134" w:rsidRPr="00C475BE" w:rsidRDefault="00D67134" w:rsidP="00D67134">
            <w:pPr>
              <w:pStyle w:val="BodyText"/>
              <w:numPr>
                <w:ilvl w:val="0"/>
                <w:numId w:val="0"/>
              </w:numPr>
              <w:rPr>
                <w:rFonts w:asciiTheme="minorHAnsi" w:hAnsiTheme="minorHAnsi"/>
              </w:rPr>
            </w:pPr>
          </w:p>
          <w:p w14:paraId="07B3C19C" w14:textId="77777777" w:rsidR="00873D73" w:rsidRPr="00C475BE" w:rsidRDefault="00873D73" w:rsidP="00873D73">
            <w:pPr>
              <w:pStyle w:val="BodyText"/>
              <w:numPr>
                <w:ilvl w:val="0"/>
                <w:numId w:val="0"/>
              </w:numPr>
              <w:ind w:left="720"/>
              <w:rPr>
                <w:rFonts w:asciiTheme="minorHAnsi" w:hAnsiTheme="minorHAnsi"/>
              </w:rPr>
            </w:pPr>
          </w:p>
          <w:p w14:paraId="161739D8" w14:textId="77777777" w:rsidR="00244162" w:rsidRPr="00F24583" w:rsidRDefault="00244162" w:rsidP="00562187">
            <w:pPr>
              <w:pStyle w:val="BodyText"/>
              <w:numPr>
                <w:ilvl w:val="0"/>
                <w:numId w:val="0"/>
              </w:numPr>
              <w:ind w:left="720"/>
              <w:rPr>
                <w:rFonts w:asciiTheme="minorHAnsi" w:hAnsiTheme="minorHAnsi"/>
                <w:b/>
              </w:rPr>
            </w:pPr>
          </w:p>
          <w:p w14:paraId="1412C17A" w14:textId="77777777" w:rsidR="00244162" w:rsidRDefault="00244162" w:rsidP="00244162">
            <w:pPr>
              <w:pStyle w:val="BodyText"/>
              <w:numPr>
                <w:ilvl w:val="0"/>
                <w:numId w:val="0"/>
              </w:numPr>
              <w:rPr>
                <w:rFonts w:asciiTheme="minorHAnsi" w:hAnsiTheme="minorHAnsi"/>
              </w:rPr>
            </w:pPr>
          </w:p>
          <w:p w14:paraId="2E952D07" w14:textId="77777777" w:rsidR="00244162" w:rsidRDefault="00244162" w:rsidP="00244162">
            <w:pPr>
              <w:pStyle w:val="BodyText"/>
              <w:numPr>
                <w:ilvl w:val="0"/>
                <w:numId w:val="0"/>
              </w:numPr>
              <w:rPr>
                <w:rFonts w:asciiTheme="minorHAnsi" w:hAnsiTheme="minorHAnsi"/>
              </w:rPr>
            </w:pPr>
          </w:p>
          <w:p w14:paraId="2BED38DD" w14:textId="77777777" w:rsidR="00244162" w:rsidRDefault="00244162" w:rsidP="00244162">
            <w:pPr>
              <w:pStyle w:val="BodyText"/>
              <w:numPr>
                <w:ilvl w:val="0"/>
                <w:numId w:val="0"/>
              </w:numPr>
              <w:rPr>
                <w:rFonts w:asciiTheme="minorHAnsi" w:hAnsiTheme="minorHAnsi"/>
              </w:rPr>
            </w:pPr>
          </w:p>
          <w:p w14:paraId="46AB4F86" w14:textId="77777777" w:rsidR="00244162" w:rsidRDefault="00244162" w:rsidP="00244162">
            <w:pPr>
              <w:pStyle w:val="BodyText"/>
              <w:numPr>
                <w:ilvl w:val="0"/>
                <w:numId w:val="0"/>
              </w:numPr>
              <w:rPr>
                <w:rFonts w:asciiTheme="minorHAnsi" w:hAnsiTheme="minorHAnsi"/>
              </w:rPr>
            </w:pPr>
          </w:p>
          <w:p w14:paraId="3516AE55" w14:textId="77777777" w:rsidR="00244162" w:rsidRDefault="00244162" w:rsidP="00244162">
            <w:pPr>
              <w:pStyle w:val="BodyText"/>
              <w:numPr>
                <w:ilvl w:val="0"/>
                <w:numId w:val="0"/>
              </w:numPr>
              <w:rPr>
                <w:rFonts w:asciiTheme="minorHAnsi" w:hAnsiTheme="minorHAnsi"/>
              </w:rPr>
            </w:pPr>
          </w:p>
          <w:p w14:paraId="422AC6E0" w14:textId="77777777" w:rsidR="00244162" w:rsidRDefault="00244162" w:rsidP="00244162">
            <w:pPr>
              <w:pStyle w:val="BodyText"/>
              <w:numPr>
                <w:ilvl w:val="0"/>
                <w:numId w:val="0"/>
              </w:numPr>
              <w:rPr>
                <w:rFonts w:asciiTheme="minorHAnsi" w:hAnsiTheme="minorHAnsi"/>
              </w:rPr>
            </w:pPr>
          </w:p>
          <w:p w14:paraId="7E1C4A99" w14:textId="77777777" w:rsidR="00244162" w:rsidRDefault="00244162" w:rsidP="00244162">
            <w:pPr>
              <w:pStyle w:val="BodyText"/>
              <w:numPr>
                <w:ilvl w:val="0"/>
                <w:numId w:val="0"/>
              </w:numPr>
              <w:rPr>
                <w:rFonts w:asciiTheme="minorHAnsi" w:hAnsiTheme="minorHAnsi"/>
              </w:rPr>
            </w:pPr>
          </w:p>
          <w:p w14:paraId="1E66DDE0" w14:textId="77777777" w:rsidR="00244162" w:rsidRDefault="00244162" w:rsidP="00244162">
            <w:pPr>
              <w:pStyle w:val="BodyText"/>
              <w:numPr>
                <w:ilvl w:val="0"/>
                <w:numId w:val="0"/>
              </w:numPr>
              <w:rPr>
                <w:rFonts w:asciiTheme="minorHAnsi" w:hAnsiTheme="minorHAnsi"/>
              </w:rPr>
            </w:pPr>
          </w:p>
          <w:p w14:paraId="6B5A8B73" w14:textId="77777777" w:rsidR="00244162" w:rsidRDefault="00244162" w:rsidP="00244162">
            <w:pPr>
              <w:pStyle w:val="BodyText"/>
              <w:numPr>
                <w:ilvl w:val="0"/>
                <w:numId w:val="0"/>
              </w:numPr>
              <w:rPr>
                <w:rFonts w:asciiTheme="minorHAnsi" w:hAnsiTheme="minorHAnsi"/>
              </w:rPr>
            </w:pPr>
          </w:p>
          <w:p w14:paraId="7E59A339" w14:textId="77777777" w:rsidR="00244162" w:rsidRDefault="00244162" w:rsidP="00244162">
            <w:pPr>
              <w:pStyle w:val="BodyText"/>
              <w:numPr>
                <w:ilvl w:val="0"/>
                <w:numId w:val="0"/>
              </w:numPr>
              <w:rPr>
                <w:rFonts w:asciiTheme="minorHAnsi" w:hAnsiTheme="minorHAnsi"/>
              </w:rPr>
            </w:pPr>
          </w:p>
          <w:p w14:paraId="40EBBE7B" w14:textId="77777777" w:rsidR="009301E3" w:rsidRDefault="009301E3" w:rsidP="00244162">
            <w:pPr>
              <w:pStyle w:val="BodyText"/>
              <w:numPr>
                <w:ilvl w:val="0"/>
                <w:numId w:val="0"/>
              </w:numPr>
              <w:rPr>
                <w:rFonts w:asciiTheme="minorHAnsi" w:hAnsiTheme="minorHAnsi"/>
              </w:rPr>
            </w:pPr>
          </w:p>
          <w:p w14:paraId="4FD7AC54" w14:textId="77777777" w:rsidR="00244162" w:rsidRPr="00141974" w:rsidRDefault="00244162" w:rsidP="00244162">
            <w:pPr>
              <w:pStyle w:val="BodyText"/>
              <w:numPr>
                <w:ilvl w:val="0"/>
                <w:numId w:val="0"/>
              </w:numPr>
              <w:rPr>
                <w:rFonts w:asciiTheme="minorHAnsi" w:hAnsiTheme="minorHAnsi"/>
                <w:b/>
              </w:rPr>
            </w:pPr>
          </w:p>
        </w:tc>
      </w:tr>
      <w:tr w:rsidR="00141974" w14:paraId="57DF93D1" w14:textId="77777777" w:rsidTr="003252C7">
        <w:tc>
          <w:tcPr>
            <w:tcW w:w="11199" w:type="dxa"/>
            <w:shd w:val="clear" w:color="auto" w:fill="D9D9D9" w:themeFill="background1" w:themeFillShade="D9"/>
          </w:tcPr>
          <w:p w14:paraId="79FF72AF" w14:textId="77777777" w:rsidR="00141974" w:rsidRDefault="00141974" w:rsidP="002C5955">
            <w:pPr>
              <w:pStyle w:val="BodyText"/>
              <w:numPr>
                <w:ilvl w:val="0"/>
                <w:numId w:val="5"/>
              </w:numPr>
              <w:rPr>
                <w:rFonts w:asciiTheme="minorHAnsi" w:hAnsiTheme="minorHAnsi"/>
                <w:b/>
              </w:rPr>
            </w:pPr>
            <w:r>
              <w:rPr>
                <w:rFonts w:asciiTheme="minorHAnsi" w:hAnsiTheme="minorHAnsi"/>
                <w:b/>
              </w:rPr>
              <w:lastRenderedPageBreak/>
              <w:t xml:space="preserve">Developing the </w:t>
            </w:r>
            <w:r w:rsidR="005D6AF0">
              <w:rPr>
                <w:rFonts w:asciiTheme="minorHAnsi" w:hAnsiTheme="minorHAnsi"/>
                <w:b/>
              </w:rPr>
              <w:t xml:space="preserve">overall </w:t>
            </w:r>
            <w:r>
              <w:rPr>
                <w:rFonts w:asciiTheme="minorHAnsi" w:hAnsiTheme="minorHAnsi"/>
                <w:b/>
              </w:rPr>
              <w:t>budget and application</w:t>
            </w:r>
          </w:p>
        </w:tc>
      </w:tr>
      <w:tr w:rsidR="00A75839" w14:paraId="2C2D57E4" w14:textId="77777777" w:rsidTr="00A75839">
        <w:tc>
          <w:tcPr>
            <w:tcW w:w="11199" w:type="dxa"/>
          </w:tcPr>
          <w:p w14:paraId="373696A9" w14:textId="77777777" w:rsidR="00A75839" w:rsidRPr="00A75839" w:rsidRDefault="005D6AF0" w:rsidP="00245E96">
            <w:pPr>
              <w:pStyle w:val="BodyText"/>
              <w:numPr>
                <w:ilvl w:val="0"/>
                <w:numId w:val="0"/>
              </w:numPr>
              <w:rPr>
                <w:rFonts w:asciiTheme="minorHAnsi" w:hAnsiTheme="minorHAnsi"/>
                <w:b/>
              </w:rPr>
            </w:pPr>
            <w:r>
              <w:rPr>
                <w:rFonts w:asciiTheme="minorHAnsi" w:hAnsiTheme="minorHAnsi"/>
                <w:b/>
              </w:rPr>
              <w:t>A. The budget statements</w:t>
            </w:r>
            <w:r w:rsidR="00873D73">
              <w:rPr>
                <w:rFonts w:asciiTheme="minorHAnsi" w:hAnsiTheme="minorHAnsi"/>
                <w:b/>
              </w:rPr>
              <w:t xml:space="preserve"> </w:t>
            </w:r>
            <w:r>
              <w:rPr>
                <w:rFonts w:asciiTheme="minorHAnsi" w:hAnsiTheme="minorHAnsi"/>
                <w:b/>
              </w:rPr>
              <w:t xml:space="preserve">and figures and a description </w:t>
            </w:r>
            <w:r w:rsidR="00A75839" w:rsidRPr="00A75839">
              <w:rPr>
                <w:rFonts w:asciiTheme="minorHAnsi" w:hAnsiTheme="minorHAnsi"/>
                <w:b/>
              </w:rPr>
              <w:t xml:space="preserve">of how the </w:t>
            </w:r>
            <w:r w:rsidR="00873D73">
              <w:rPr>
                <w:rFonts w:asciiTheme="minorHAnsi" w:hAnsiTheme="minorHAnsi"/>
                <w:b/>
              </w:rPr>
              <w:t xml:space="preserve">overall </w:t>
            </w:r>
            <w:r w:rsidR="00A75839" w:rsidRPr="00A75839">
              <w:rPr>
                <w:rFonts w:asciiTheme="minorHAnsi" w:hAnsiTheme="minorHAnsi"/>
                <w:b/>
              </w:rPr>
              <w:t>budget was developed and settled, in particular</w:t>
            </w:r>
          </w:p>
          <w:p w14:paraId="443EB426" w14:textId="61586A2C" w:rsidR="00A75839" w:rsidRDefault="00A75839" w:rsidP="00474FE2">
            <w:pPr>
              <w:pStyle w:val="BodyText"/>
              <w:numPr>
                <w:ilvl w:val="0"/>
                <w:numId w:val="11"/>
              </w:numPr>
              <w:rPr>
                <w:rFonts w:asciiTheme="minorHAnsi" w:hAnsiTheme="minorHAnsi"/>
              </w:rPr>
            </w:pPr>
            <w:r>
              <w:rPr>
                <w:rFonts w:asciiTheme="minorHAnsi" w:hAnsiTheme="minorHAnsi"/>
              </w:rPr>
              <w:t xml:space="preserve">a </w:t>
            </w:r>
            <w:r w:rsidR="005D6AF0">
              <w:rPr>
                <w:rFonts w:asciiTheme="minorHAnsi" w:hAnsiTheme="minorHAnsi"/>
              </w:rPr>
              <w:t xml:space="preserve">breakdown and </w:t>
            </w:r>
            <w:r>
              <w:rPr>
                <w:rFonts w:asciiTheme="minorHAnsi" w:hAnsiTheme="minorHAnsi"/>
              </w:rPr>
              <w:t xml:space="preserve">clear description of the budget setting process and how the budget was arrived at, including </w:t>
            </w:r>
            <w:r w:rsidR="008E1B59">
              <w:rPr>
                <w:rFonts w:asciiTheme="minorHAnsi" w:hAnsiTheme="minorHAnsi"/>
              </w:rPr>
              <w:t xml:space="preserve">consultation with </w:t>
            </w:r>
            <w:r>
              <w:rPr>
                <w:rFonts w:asciiTheme="minorHAnsi" w:hAnsiTheme="minorHAnsi"/>
              </w:rPr>
              <w:t>the regulatory and representative arms</w:t>
            </w:r>
          </w:p>
          <w:p w14:paraId="3491FF14" w14:textId="732E5669" w:rsidR="00A75839" w:rsidRDefault="00A75839" w:rsidP="00474FE2">
            <w:pPr>
              <w:pStyle w:val="BodyText"/>
              <w:numPr>
                <w:ilvl w:val="0"/>
                <w:numId w:val="11"/>
              </w:numPr>
              <w:rPr>
                <w:rFonts w:asciiTheme="minorHAnsi" w:hAnsiTheme="minorHAnsi"/>
              </w:rPr>
            </w:pPr>
            <w:r>
              <w:rPr>
                <w:rFonts w:asciiTheme="minorHAnsi" w:hAnsiTheme="minorHAnsi"/>
              </w:rPr>
              <w:t>evidence that the immediate and medium term needs have been taken into account</w:t>
            </w:r>
            <w:r w:rsidR="00646D71">
              <w:rPr>
                <w:rFonts w:asciiTheme="minorHAnsi" w:hAnsiTheme="minorHAnsi"/>
              </w:rPr>
              <w:t>,</w:t>
            </w:r>
            <w:r>
              <w:rPr>
                <w:rFonts w:asciiTheme="minorHAnsi" w:hAnsiTheme="minorHAnsi"/>
              </w:rPr>
              <w:t xml:space="preserve"> ensuring it has been developed in accordance with business/strategic plans</w:t>
            </w:r>
          </w:p>
          <w:p w14:paraId="5FF383F8" w14:textId="77777777" w:rsidR="00A75839" w:rsidRDefault="00A75839" w:rsidP="0054028F">
            <w:pPr>
              <w:pStyle w:val="BodyText"/>
              <w:numPr>
                <w:ilvl w:val="0"/>
                <w:numId w:val="0"/>
              </w:numPr>
              <w:ind w:left="175"/>
              <w:rPr>
                <w:rFonts w:asciiTheme="minorHAnsi" w:hAnsiTheme="minorHAnsi"/>
              </w:rPr>
            </w:pPr>
            <w:r>
              <w:rPr>
                <w:rFonts w:asciiTheme="minorHAnsi" w:hAnsiTheme="minorHAnsi"/>
              </w:rPr>
              <w:t>A description of contingency/reserves arrangements. This must include:</w:t>
            </w:r>
          </w:p>
          <w:p w14:paraId="1C1ABBE7" w14:textId="77777777" w:rsidR="00A75839" w:rsidRDefault="00A75839" w:rsidP="00474FE2">
            <w:pPr>
              <w:pStyle w:val="BodyText"/>
              <w:numPr>
                <w:ilvl w:val="0"/>
                <w:numId w:val="11"/>
              </w:numPr>
              <w:rPr>
                <w:rFonts w:asciiTheme="minorHAnsi" w:hAnsiTheme="minorHAnsi"/>
              </w:rPr>
            </w:pPr>
            <w:r>
              <w:rPr>
                <w:rFonts w:asciiTheme="minorHAnsi" w:hAnsiTheme="minorHAnsi"/>
              </w:rPr>
              <w:t>assurance that reserves are set at an adequate level for the upcoming budget</w:t>
            </w:r>
          </w:p>
          <w:p w14:paraId="48A75B98" w14:textId="77777777" w:rsidR="00A75839" w:rsidRDefault="00A75839" w:rsidP="00474FE2">
            <w:pPr>
              <w:pStyle w:val="BodyText"/>
              <w:numPr>
                <w:ilvl w:val="0"/>
                <w:numId w:val="11"/>
              </w:numPr>
              <w:rPr>
                <w:rFonts w:asciiTheme="minorHAnsi" w:hAnsiTheme="minorHAnsi"/>
              </w:rPr>
            </w:pPr>
            <w:r w:rsidRPr="008D5FD3">
              <w:rPr>
                <w:rFonts w:asciiTheme="minorHAnsi" w:hAnsiTheme="minorHAnsi"/>
              </w:rPr>
              <w:t xml:space="preserve">assurance that the impact of high level reserves (if appropriate) have been considered when setting the fee levels. </w:t>
            </w:r>
          </w:p>
          <w:p w14:paraId="5771A56B" w14:textId="77777777" w:rsidR="00A75839" w:rsidRPr="00EF4593" w:rsidRDefault="00777663" w:rsidP="004E3B8A">
            <w:pPr>
              <w:pStyle w:val="BodyText"/>
              <w:numPr>
                <w:ilvl w:val="0"/>
                <w:numId w:val="0"/>
              </w:numPr>
              <w:ind w:left="720" w:hanging="720"/>
              <w:rPr>
                <w:rFonts w:asciiTheme="minorHAnsi" w:hAnsiTheme="minorHAnsi"/>
                <w:b/>
              </w:rPr>
            </w:pPr>
            <w:r w:rsidRPr="00EF4593">
              <w:rPr>
                <w:rFonts w:asciiTheme="minorHAnsi" w:hAnsiTheme="minorHAnsi"/>
                <w:b/>
              </w:rPr>
              <w:t>B</w:t>
            </w:r>
            <w:r w:rsidR="009D267E" w:rsidRPr="00EF4593">
              <w:rPr>
                <w:rFonts w:asciiTheme="minorHAnsi" w:hAnsiTheme="minorHAnsi"/>
                <w:b/>
              </w:rPr>
              <w:t xml:space="preserve">. A </w:t>
            </w:r>
            <w:r w:rsidR="00A75839" w:rsidRPr="00EF4593">
              <w:rPr>
                <w:rFonts w:asciiTheme="minorHAnsi" w:hAnsiTheme="minorHAnsi"/>
                <w:b/>
              </w:rPr>
              <w:t>breakdown of the budget</w:t>
            </w:r>
            <w:r w:rsidR="005D6AF0" w:rsidRPr="00EF4593">
              <w:rPr>
                <w:rFonts w:asciiTheme="minorHAnsi" w:hAnsiTheme="minorHAnsi"/>
                <w:b/>
              </w:rPr>
              <w:t xml:space="preserve"> for PCF</w:t>
            </w:r>
          </w:p>
          <w:p w14:paraId="3DE3D37C" w14:textId="77777777" w:rsidR="00A75839" w:rsidRDefault="00A75839" w:rsidP="006D520E">
            <w:pPr>
              <w:pStyle w:val="BodyText"/>
              <w:numPr>
                <w:ilvl w:val="0"/>
                <w:numId w:val="0"/>
              </w:numPr>
              <w:ind w:left="34" w:hanging="34"/>
              <w:rPr>
                <w:rFonts w:asciiTheme="minorHAnsi" w:hAnsiTheme="minorHAnsi"/>
              </w:rPr>
            </w:pPr>
            <w:r w:rsidRPr="006D520E">
              <w:rPr>
                <w:rFonts w:asciiTheme="minorHAnsi" w:hAnsiTheme="minorHAnsi"/>
              </w:rPr>
              <w:t>Total PCF income collected</w:t>
            </w:r>
            <w:r>
              <w:rPr>
                <w:rFonts w:asciiTheme="minorHAnsi" w:hAnsiTheme="minorHAnsi"/>
              </w:rPr>
              <w:t xml:space="preserve"> in the current and budget year</w:t>
            </w:r>
            <w:r w:rsidRPr="006D520E">
              <w:rPr>
                <w:rFonts w:asciiTheme="minorHAnsi" w:hAnsiTheme="minorHAnsi"/>
              </w:rPr>
              <w:t xml:space="preserve"> </w:t>
            </w:r>
            <w:r>
              <w:rPr>
                <w:rFonts w:asciiTheme="minorHAnsi" w:hAnsiTheme="minorHAnsi"/>
              </w:rPr>
              <w:t>and a breakdown of how it was allocated or spent:</w:t>
            </w:r>
          </w:p>
          <w:p w14:paraId="68351F2D" w14:textId="77777777" w:rsidR="00A75839" w:rsidRDefault="00A75839" w:rsidP="00474FE2">
            <w:pPr>
              <w:pStyle w:val="BodyText"/>
              <w:numPr>
                <w:ilvl w:val="0"/>
                <w:numId w:val="11"/>
              </w:numPr>
              <w:rPr>
                <w:rFonts w:asciiTheme="minorHAnsi" w:hAnsiTheme="minorHAnsi"/>
              </w:rPr>
            </w:pPr>
            <w:r>
              <w:rPr>
                <w:rFonts w:asciiTheme="minorHAnsi" w:hAnsiTheme="minorHAnsi"/>
              </w:rPr>
              <w:t xml:space="preserve">by department or </w:t>
            </w:r>
            <w:r w:rsidRPr="003D70E6">
              <w:rPr>
                <w:rFonts w:asciiTheme="minorHAnsi" w:hAnsiTheme="minorHAnsi"/>
              </w:rPr>
              <w:t>expenditure category</w:t>
            </w:r>
          </w:p>
          <w:p w14:paraId="58F9E719" w14:textId="77777777" w:rsidR="00A75839" w:rsidRDefault="00A75839" w:rsidP="00474FE2">
            <w:pPr>
              <w:pStyle w:val="BodyText"/>
              <w:numPr>
                <w:ilvl w:val="0"/>
                <w:numId w:val="11"/>
              </w:numPr>
              <w:rPr>
                <w:rFonts w:asciiTheme="minorHAnsi" w:hAnsiTheme="minorHAnsi"/>
              </w:rPr>
            </w:pPr>
            <w:r>
              <w:rPr>
                <w:rFonts w:asciiTheme="minorHAnsi" w:hAnsiTheme="minorHAnsi"/>
              </w:rPr>
              <w:t xml:space="preserve">an explanation of any variation in total PCF spending between the current and budget year </w:t>
            </w:r>
          </w:p>
          <w:p w14:paraId="06239D8D" w14:textId="77777777" w:rsidR="00A75839" w:rsidRPr="00A75839" w:rsidRDefault="00A75839" w:rsidP="00A75839">
            <w:pPr>
              <w:pStyle w:val="BodyText"/>
              <w:numPr>
                <w:ilvl w:val="0"/>
                <w:numId w:val="11"/>
              </w:numPr>
              <w:rPr>
                <w:rFonts w:asciiTheme="minorHAnsi" w:hAnsiTheme="minorHAnsi"/>
              </w:rPr>
            </w:pPr>
            <w:r w:rsidRPr="00474FE2">
              <w:rPr>
                <w:rFonts w:asciiTheme="minorHAnsi" w:hAnsiTheme="minorHAnsi"/>
              </w:rPr>
              <w:t>a comparison of PCF for approval</w:t>
            </w:r>
            <w:r>
              <w:rPr>
                <w:rFonts w:asciiTheme="minorHAnsi" w:hAnsiTheme="minorHAnsi"/>
              </w:rPr>
              <w:t xml:space="preserve"> in the budget year</w:t>
            </w:r>
            <w:r w:rsidRPr="00474FE2">
              <w:rPr>
                <w:rFonts w:asciiTheme="minorHAnsi" w:hAnsiTheme="minorHAnsi"/>
              </w:rPr>
              <w:t>,</w:t>
            </w:r>
            <w:r>
              <w:rPr>
                <w:rFonts w:asciiTheme="minorHAnsi" w:hAnsiTheme="minorHAnsi"/>
              </w:rPr>
              <w:t xml:space="preserve"> with level of PCF</w:t>
            </w:r>
            <w:r w:rsidRPr="00474FE2">
              <w:rPr>
                <w:rFonts w:asciiTheme="minorHAnsi" w:hAnsiTheme="minorHAnsi"/>
              </w:rPr>
              <w:t xml:space="preserve"> in the current year </w:t>
            </w:r>
            <w:r>
              <w:rPr>
                <w:rFonts w:asciiTheme="minorHAnsi" w:hAnsiTheme="minorHAnsi"/>
              </w:rPr>
              <w:t>and explanation of</w:t>
            </w:r>
            <w:r w:rsidR="003D70E6">
              <w:rPr>
                <w:rFonts w:asciiTheme="minorHAnsi" w:hAnsiTheme="minorHAnsi"/>
              </w:rPr>
              <w:t xml:space="preserve"> why the fee level has changed (</w:t>
            </w:r>
            <w:r>
              <w:rPr>
                <w:rFonts w:asciiTheme="minorHAnsi" w:hAnsiTheme="minorHAnsi"/>
              </w:rPr>
              <w:t>if applicable)</w:t>
            </w:r>
          </w:p>
          <w:p w14:paraId="1F5FDA2E" w14:textId="77777777" w:rsidR="00A75839" w:rsidRPr="00E76DB5" w:rsidRDefault="00A75839" w:rsidP="00E76DB5">
            <w:pPr>
              <w:pStyle w:val="BodyText"/>
              <w:numPr>
                <w:ilvl w:val="0"/>
                <w:numId w:val="0"/>
              </w:numPr>
              <w:rPr>
                <w:rFonts w:asciiTheme="minorHAnsi" w:hAnsiTheme="minorHAnsi"/>
                <w:b/>
              </w:rPr>
            </w:pPr>
            <w:r w:rsidRPr="00FE1F9E">
              <w:rPr>
                <w:rFonts w:asciiTheme="minorHAnsi" w:hAnsiTheme="minorHAnsi"/>
              </w:rPr>
              <w:t>I</w:t>
            </w:r>
            <w:r>
              <w:rPr>
                <w:rFonts w:asciiTheme="minorHAnsi" w:hAnsiTheme="minorHAnsi"/>
              </w:rPr>
              <w:t xml:space="preserve">n addition, </w:t>
            </w:r>
            <w:r w:rsidRPr="00EF4593">
              <w:rPr>
                <w:rFonts w:asciiTheme="minorHAnsi" w:hAnsiTheme="minorHAnsi"/>
                <w:u w:val="single"/>
              </w:rPr>
              <w:t>if</w:t>
            </w:r>
            <w:r w:rsidRPr="00FE1F9E">
              <w:rPr>
                <w:rFonts w:asciiTheme="minorHAnsi" w:hAnsiTheme="minorHAnsi"/>
              </w:rPr>
              <w:t xml:space="preserve"> the proposal is to </w:t>
            </w:r>
            <w:r w:rsidRPr="00484F6C">
              <w:rPr>
                <w:rFonts w:asciiTheme="minorHAnsi" w:hAnsiTheme="minorHAnsi"/>
                <w:b/>
              </w:rPr>
              <w:t>increase the PCF relative to the current year</w:t>
            </w:r>
            <w:r>
              <w:rPr>
                <w:rFonts w:asciiTheme="minorHAnsi" w:hAnsiTheme="minorHAnsi"/>
                <w:b/>
              </w:rPr>
              <w:t xml:space="preserve">, </w:t>
            </w:r>
          </w:p>
          <w:p w14:paraId="3B41D3C7" w14:textId="77777777" w:rsidR="00A75839" w:rsidRDefault="00A75839" w:rsidP="00474FE2">
            <w:pPr>
              <w:pStyle w:val="BodyText"/>
              <w:numPr>
                <w:ilvl w:val="0"/>
                <w:numId w:val="11"/>
              </w:numPr>
              <w:rPr>
                <w:rFonts w:asciiTheme="minorHAnsi" w:hAnsiTheme="minorHAnsi"/>
              </w:rPr>
            </w:pPr>
            <w:r>
              <w:rPr>
                <w:rFonts w:asciiTheme="minorHAnsi" w:hAnsiTheme="minorHAnsi"/>
              </w:rPr>
              <w:t>include a forecast budget for the current application and for the next three years</w:t>
            </w:r>
            <w:r w:rsidR="007F514F">
              <w:rPr>
                <w:rFonts w:asciiTheme="minorHAnsi" w:hAnsiTheme="minorHAnsi"/>
              </w:rPr>
              <w:t xml:space="preserve"> (where available)</w:t>
            </w:r>
          </w:p>
          <w:p w14:paraId="6766548E" w14:textId="77777777" w:rsidR="00A75839" w:rsidRPr="004E3B8A" w:rsidRDefault="00A75839" w:rsidP="00474FE2">
            <w:pPr>
              <w:pStyle w:val="BodyText"/>
              <w:numPr>
                <w:ilvl w:val="0"/>
                <w:numId w:val="11"/>
              </w:numPr>
              <w:rPr>
                <w:rFonts w:asciiTheme="minorHAnsi" w:hAnsiTheme="minorHAnsi"/>
              </w:rPr>
            </w:pPr>
            <w:r>
              <w:rPr>
                <w:rFonts w:asciiTheme="minorHAnsi" w:hAnsiTheme="minorHAnsi"/>
              </w:rPr>
              <w:t>an estimate of the PCF for the next three years</w:t>
            </w:r>
            <w:r w:rsidR="007F514F">
              <w:rPr>
                <w:rFonts w:asciiTheme="minorHAnsi" w:hAnsiTheme="minorHAnsi"/>
              </w:rPr>
              <w:t xml:space="preserve"> (where available)</w:t>
            </w:r>
          </w:p>
          <w:p w14:paraId="5BC6AE91" w14:textId="77777777" w:rsidR="00A75839" w:rsidRPr="003D70E6" w:rsidRDefault="00A75839" w:rsidP="00474FE2">
            <w:pPr>
              <w:pStyle w:val="BodyText"/>
              <w:numPr>
                <w:ilvl w:val="0"/>
                <w:numId w:val="11"/>
              </w:numPr>
              <w:rPr>
                <w:rFonts w:asciiTheme="minorHAnsi" w:hAnsiTheme="minorHAnsi"/>
              </w:rPr>
            </w:pPr>
            <w:r>
              <w:rPr>
                <w:rFonts w:asciiTheme="minorHAnsi" w:hAnsiTheme="minorHAnsi"/>
              </w:rPr>
              <w:t xml:space="preserve">anticipated </w:t>
            </w:r>
            <w:r w:rsidRPr="003D70E6">
              <w:rPr>
                <w:rFonts w:asciiTheme="minorHAnsi" w:hAnsiTheme="minorHAnsi"/>
              </w:rPr>
              <w:t>income from all sources (including non-PCF income) and its allocation to permitted purposes for the current application and where available, for the next three years</w:t>
            </w:r>
            <w:r w:rsidR="009C3BF7" w:rsidRPr="003D70E6">
              <w:rPr>
                <w:rFonts w:asciiTheme="minorHAnsi" w:hAnsiTheme="minorHAnsi"/>
              </w:rPr>
              <w:t xml:space="preserve"> (see section IV, below)</w:t>
            </w:r>
          </w:p>
          <w:p w14:paraId="7023C87D" w14:textId="77777777" w:rsidR="00777663" w:rsidRPr="00777663" w:rsidRDefault="00A75839" w:rsidP="00777663">
            <w:pPr>
              <w:pStyle w:val="BodyText"/>
              <w:numPr>
                <w:ilvl w:val="0"/>
                <w:numId w:val="11"/>
              </w:numPr>
              <w:rPr>
                <w:rFonts w:asciiTheme="minorHAnsi" w:hAnsiTheme="minorHAnsi"/>
              </w:rPr>
            </w:pPr>
            <w:r w:rsidRPr="003D70E6">
              <w:rPr>
                <w:rFonts w:asciiTheme="minorHAnsi" w:hAnsiTheme="minorHAnsi"/>
              </w:rPr>
              <w:t xml:space="preserve">explain the </w:t>
            </w:r>
            <w:r w:rsidR="007F514F" w:rsidRPr="003D70E6">
              <w:rPr>
                <w:rFonts w:asciiTheme="minorHAnsi" w:hAnsiTheme="minorHAnsi"/>
              </w:rPr>
              <w:t xml:space="preserve">reserves policy and </w:t>
            </w:r>
            <w:r w:rsidRPr="003D70E6">
              <w:rPr>
                <w:rFonts w:asciiTheme="minorHAnsi" w:hAnsiTheme="minorHAnsi"/>
              </w:rPr>
              <w:t>rationale</w:t>
            </w:r>
            <w:r w:rsidRPr="004E3B8A">
              <w:rPr>
                <w:rFonts w:asciiTheme="minorHAnsi" w:hAnsiTheme="minorHAnsi"/>
              </w:rPr>
              <w:t>/requirement for any high level reserves</w:t>
            </w:r>
          </w:p>
          <w:p w14:paraId="27CF5F1E" w14:textId="77777777" w:rsidR="00777663" w:rsidRDefault="00777663" w:rsidP="00777663">
            <w:pPr>
              <w:pStyle w:val="BodyText"/>
              <w:numPr>
                <w:ilvl w:val="0"/>
                <w:numId w:val="0"/>
              </w:numPr>
              <w:ind w:left="720" w:hanging="720"/>
              <w:rPr>
                <w:rFonts w:asciiTheme="minorHAnsi" w:hAnsiTheme="minorHAnsi"/>
                <w:b/>
              </w:rPr>
            </w:pPr>
            <w:r>
              <w:rPr>
                <w:rFonts w:asciiTheme="minorHAnsi" w:hAnsiTheme="minorHAnsi"/>
                <w:b/>
              </w:rPr>
              <w:t>C. Regulatory activities</w:t>
            </w:r>
          </w:p>
          <w:p w14:paraId="639F525A" w14:textId="049499A3" w:rsidR="008A4D07" w:rsidRPr="008A4D07" w:rsidRDefault="00777663" w:rsidP="008A4D07">
            <w:pPr>
              <w:pStyle w:val="BodyText"/>
              <w:numPr>
                <w:ilvl w:val="0"/>
                <w:numId w:val="11"/>
              </w:numPr>
              <w:rPr>
                <w:rFonts w:asciiTheme="minorHAnsi" w:hAnsiTheme="minorHAnsi"/>
              </w:rPr>
            </w:pPr>
            <w:r w:rsidRPr="000E0654">
              <w:rPr>
                <w:rFonts w:asciiTheme="minorHAnsi" w:hAnsiTheme="minorHAnsi"/>
              </w:rPr>
              <w:t>Assurance that the regulatory arm has been given sufficient resources to carry out thei</w:t>
            </w:r>
            <w:r w:rsidR="00646D71">
              <w:rPr>
                <w:rFonts w:asciiTheme="minorHAnsi" w:hAnsiTheme="minorHAnsi"/>
              </w:rPr>
              <w:t>r functions in compliance with s</w:t>
            </w:r>
            <w:r w:rsidRPr="000E0654">
              <w:rPr>
                <w:rFonts w:asciiTheme="minorHAnsi" w:hAnsiTheme="minorHAnsi"/>
              </w:rPr>
              <w:t>ection</w:t>
            </w:r>
            <w:r>
              <w:rPr>
                <w:rFonts w:asciiTheme="minorHAnsi" w:hAnsiTheme="minorHAnsi"/>
              </w:rPr>
              <w:t xml:space="preserve"> 30</w:t>
            </w:r>
            <w:r w:rsidR="00EF4593">
              <w:rPr>
                <w:rFonts w:asciiTheme="minorHAnsi" w:hAnsiTheme="minorHAnsi"/>
              </w:rPr>
              <w:t xml:space="preserve"> </w:t>
            </w:r>
            <w:r w:rsidR="00EF4593" w:rsidRPr="000E0654">
              <w:rPr>
                <w:rFonts w:asciiTheme="minorHAnsi" w:hAnsiTheme="minorHAnsi"/>
              </w:rPr>
              <w:t>of the Act</w:t>
            </w:r>
            <w:r w:rsidR="00EF4593">
              <w:rPr>
                <w:rFonts w:asciiTheme="minorHAnsi" w:hAnsiTheme="minorHAnsi"/>
              </w:rPr>
              <w:t xml:space="preserve"> and the supporting Internal Governance Rules.</w:t>
            </w:r>
          </w:p>
          <w:p w14:paraId="41D77364" w14:textId="77777777" w:rsidR="00A57E63" w:rsidRDefault="00A87AF7" w:rsidP="00A57E63">
            <w:pPr>
              <w:pStyle w:val="BodyText"/>
              <w:numPr>
                <w:ilvl w:val="0"/>
                <w:numId w:val="0"/>
              </w:numPr>
              <w:ind w:left="720" w:hanging="720"/>
              <w:rPr>
                <w:rFonts w:asciiTheme="minorHAnsi" w:hAnsiTheme="minorHAnsi"/>
              </w:rPr>
            </w:pPr>
            <w:r>
              <w:rPr>
                <w:rFonts w:asciiTheme="minorHAnsi" w:hAnsiTheme="minorHAnsi"/>
                <w:noProof/>
                <w:lang w:eastAsia="en-GB" w:bidi="ar-SA"/>
              </w:rPr>
              <w:lastRenderedPageBreak/>
              <mc:AlternateContent>
                <mc:Choice Requires="wps">
                  <w:drawing>
                    <wp:anchor distT="0" distB="0" distL="114300" distR="114300" simplePos="0" relativeHeight="251659264" behindDoc="0" locked="0" layoutInCell="1" allowOverlap="1" wp14:anchorId="3FEE7735" wp14:editId="3A6014C8">
                      <wp:simplePos x="0" y="0"/>
                      <wp:positionH relativeFrom="column">
                        <wp:posOffset>119523</wp:posOffset>
                      </wp:positionH>
                      <wp:positionV relativeFrom="paragraph">
                        <wp:posOffset>40537</wp:posOffset>
                      </wp:positionV>
                      <wp:extent cx="6518275" cy="3757889"/>
                      <wp:effectExtent l="0" t="0" r="9525" b="14605"/>
                      <wp:wrapNone/>
                      <wp:docPr id="1" name="Text Box 1"/>
                      <wp:cNvGraphicFramePr/>
                      <a:graphic xmlns:a="http://schemas.openxmlformats.org/drawingml/2006/main">
                        <a:graphicData uri="http://schemas.microsoft.com/office/word/2010/wordprocessingShape">
                          <wps:wsp>
                            <wps:cNvSpPr txBox="1"/>
                            <wps:spPr>
                              <a:xfrm>
                                <a:off x="0" y="0"/>
                                <a:ext cx="6518275" cy="3757889"/>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C1E577F"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330FA54A"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(b): evidence which demonstrates that reasonable care was taken in settling the application in the context of the budget necessary for the immediate and medium term</w:t>
                                  </w:r>
                                </w:p>
                                <w:p w14:paraId="7A44CEFD"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 10 (d): clarity and transparency over the revenue raised through practising fees to be applied for permitted purposes which are regulatory functions </w:t>
                                  </w:r>
                                </w:p>
                                <w:p w14:paraId="3CC5A836"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(e): clarity and transparency over the revenue raised through practising fees to be applied for permitted purposes which are not regulatory functions</w:t>
                                  </w:r>
                                </w:p>
                                <w:p w14:paraId="05D2F377"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D.10 (f) for the purposes of the enabling the LSB to assess the impact on the proposed practising fee, provide clarity and transparency on the allocation of all the approved regulator’s financial resources, whether or not those resources arise from permitted purposes </w:t>
                                  </w:r>
                                </w:p>
                                <w:p w14:paraId="08D2D987"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(a): description of how the application was developed and settled, including any consultation carried out, whether or not some consultation was carried out by the Board (see below)</w:t>
                                  </w:r>
                                </w:p>
                                <w:p w14:paraId="1BEFB37D"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(b) where there is a proposed increase in practising fees, the budget should show anticipated income from all sources and its allocation to the permitted purposes for the current application and where available for the next 3 years</w:t>
                                  </w:r>
                                </w:p>
                                <w:p w14:paraId="55C572AA"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D.11 (e): an explanation of contingency arrangements where unexpected regulatory needs arises in-year</w:t>
                                  </w:r>
                                </w:p>
                                <w:p w14:paraId="12CCBCB3"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(c): the proposed practising fee for the current application and where there is a proposed increase in practising fees and where available, the estimate for the next three years</w:t>
                                  </w:r>
                                </w:p>
                                <w:p w14:paraId="536FE9CE" w14:textId="77777777" w:rsidR="00921154" w:rsidRPr="00AE6AEF" w:rsidRDefault="00921154">
                                  <w:pPr>
                                    <w:rPr>
                                      <w:color w:val="4354EF"/>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E7735" id="_x0000_t202" coordsize="21600,21600" o:spt="202" path="m,l,21600r21600,l21600,xe">
                      <v:stroke joinstyle="miter"/>
                      <v:path gradientshapeok="t" o:connecttype="rect"/>
                    </v:shapetype>
                    <v:shape id="Text Box 1" o:spid="_x0000_s1026" type="#_x0000_t202" style="position:absolute;left:0;text-align:left;margin-left:9.4pt;margin-top:3.2pt;width:513.25pt;height:2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" fillcolor="white [3201]" strokecolor="#4472c4 [3208]" strokeweight="1pt">
                      <v:textbox>
                        <w:txbxContent>
                          <w:p w14:paraId="7C1E577F"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330FA54A"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(b): evidence which demonstrates that reasonable care was taken in settling the application in the context of the budget necessary for the immediate and medium term</w:t>
                            </w:r>
                          </w:p>
                          <w:p w14:paraId="7A44CEFD"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 10 (d): clarity and transparency over the revenue raised through practising fees to be applied for permitted purposes which are regulatory functions </w:t>
                            </w:r>
                          </w:p>
                          <w:p w14:paraId="3CC5A836"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(e): clarity and transparency over the revenue raised through practising fees to be applied for permitted purposes which are not regulatory functions</w:t>
                            </w:r>
                          </w:p>
                          <w:p w14:paraId="05D2F377"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D.10 (f) for the purposes of the enabling the LSB to assess the impact on the proposed practising fee, provide clarity and transparency on the allocation of all the approved regulator’s financial resources, whether or not those resources arise from permitted purposes </w:t>
                            </w:r>
                          </w:p>
                          <w:p w14:paraId="08D2D987"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(a): description of how the application was developed and settled, including any consultation carried out, whether or not some consultation was carried out by the Board (see below)</w:t>
                            </w:r>
                          </w:p>
                          <w:p w14:paraId="1BEFB37D"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(b) where there is a proposed increase in practising fees, the budget should show anticipated income from all sources and its allocation to the permitted purposes for the current application and where available for the next 3 years</w:t>
                            </w:r>
                          </w:p>
                          <w:p w14:paraId="55C572AA"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D.11 (e): an explanation of contingency arrangements where unexpected regulatory needs arises in-year</w:t>
                            </w:r>
                          </w:p>
                          <w:p w14:paraId="12CCBCB3" w14:textId="77777777" w:rsidR="00921154" w:rsidRDefault="0092115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(c): the proposed practising fee for the current application and where there is a proposed increase in practising fees and where available, the estimate for the next three years</w:t>
                            </w:r>
                          </w:p>
                          <w:p w14:paraId="536FE9CE" w14:textId="77777777" w:rsidR="00921154" w:rsidRPr="00AE6AEF" w:rsidRDefault="00921154">
                            <w:pPr>
                              <w:rPr>
                                <w:color w:val="4354EF"/>
                                <w14:textOutline w14:w="9525" w14:cap="rnd" w14:cmpd="sng" w14:algn="ctr">
                                  <w14:solidFill>
                                    <w14:srgbClr w14:val="0070C0"/>
                                  </w14:solidFill>
                                  <w14:prstDash w14:val="solid"/>
                                  <w14:bevel/>
                                </w14:textOutline>
                              </w:rPr>
                            </w:pPr>
                          </w:p>
                        </w:txbxContent>
                      </v:textbox>
                    </v:shape>
                  </w:pict>
                </mc:Fallback>
              </mc:AlternateContent>
            </w:r>
          </w:p>
          <w:p w14:paraId="0172A2F1" w14:textId="77777777" w:rsidR="00A57E63" w:rsidRDefault="00A57E63" w:rsidP="00A57E63">
            <w:pPr>
              <w:pStyle w:val="BodyText"/>
              <w:numPr>
                <w:ilvl w:val="0"/>
                <w:numId w:val="0"/>
              </w:numPr>
              <w:ind w:left="720" w:hanging="720"/>
              <w:rPr>
                <w:rFonts w:asciiTheme="minorHAnsi" w:hAnsiTheme="minorHAnsi"/>
              </w:rPr>
            </w:pPr>
          </w:p>
          <w:p w14:paraId="25E1A256" w14:textId="77777777" w:rsidR="00A57E63" w:rsidRDefault="00A57E63" w:rsidP="00A57E63">
            <w:pPr>
              <w:pStyle w:val="BodyText"/>
              <w:numPr>
                <w:ilvl w:val="0"/>
                <w:numId w:val="0"/>
              </w:numPr>
              <w:ind w:left="720" w:hanging="720"/>
              <w:rPr>
                <w:rFonts w:asciiTheme="minorHAnsi" w:hAnsiTheme="minorHAnsi"/>
              </w:rPr>
            </w:pPr>
          </w:p>
          <w:p w14:paraId="5C1D8C37" w14:textId="77777777" w:rsidR="00A57E63" w:rsidRDefault="00A57E63" w:rsidP="00A57E63">
            <w:pPr>
              <w:pStyle w:val="BodyText"/>
              <w:numPr>
                <w:ilvl w:val="0"/>
                <w:numId w:val="0"/>
              </w:numPr>
              <w:ind w:left="720" w:hanging="720"/>
              <w:rPr>
                <w:rFonts w:asciiTheme="minorHAnsi" w:hAnsiTheme="minorHAnsi"/>
              </w:rPr>
            </w:pPr>
          </w:p>
          <w:p w14:paraId="7499108D" w14:textId="77777777" w:rsidR="00A57E63" w:rsidRDefault="00A57E63" w:rsidP="00A57E63">
            <w:pPr>
              <w:pStyle w:val="BodyText"/>
              <w:numPr>
                <w:ilvl w:val="0"/>
                <w:numId w:val="0"/>
              </w:numPr>
              <w:ind w:left="720" w:hanging="720"/>
              <w:rPr>
                <w:rFonts w:asciiTheme="minorHAnsi" w:hAnsiTheme="minorHAnsi"/>
              </w:rPr>
            </w:pPr>
          </w:p>
          <w:p w14:paraId="2F1CEF67" w14:textId="77777777" w:rsidR="007F514F" w:rsidRDefault="007F514F" w:rsidP="00A57E63">
            <w:pPr>
              <w:pStyle w:val="BodyText"/>
              <w:numPr>
                <w:ilvl w:val="0"/>
                <w:numId w:val="0"/>
              </w:numPr>
              <w:ind w:left="720" w:hanging="720"/>
              <w:rPr>
                <w:rFonts w:asciiTheme="minorHAnsi" w:hAnsiTheme="minorHAnsi"/>
              </w:rPr>
            </w:pPr>
          </w:p>
          <w:p w14:paraId="041917C4" w14:textId="77777777" w:rsidR="007F514F" w:rsidRDefault="007F514F" w:rsidP="00A57E63">
            <w:pPr>
              <w:pStyle w:val="BodyText"/>
              <w:numPr>
                <w:ilvl w:val="0"/>
                <w:numId w:val="0"/>
              </w:numPr>
              <w:ind w:left="720" w:hanging="720"/>
              <w:rPr>
                <w:rFonts w:asciiTheme="minorHAnsi" w:hAnsiTheme="minorHAnsi"/>
              </w:rPr>
            </w:pPr>
          </w:p>
          <w:p w14:paraId="51B16968" w14:textId="77777777" w:rsidR="007E6AA8" w:rsidRDefault="007E6AA8" w:rsidP="00A57E63">
            <w:pPr>
              <w:pStyle w:val="BodyText"/>
              <w:numPr>
                <w:ilvl w:val="0"/>
                <w:numId w:val="0"/>
              </w:numPr>
              <w:ind w:left="720" w:hanging="720"/>
              <w:rPr>
                <w:rFonts w:asciiTheme="minorHAnsi" w:hAnsiTheme="minorHAnsi"/>
              </w:rPr>
            </w:pPr>
          </w:p>
          <w:p w14:paraId="1E25A542" w14:textId="77777777" w:rsidR="007E6AA8" w:rsidRDefault="007E6AA8" w:rsidP="00A57E63">
            <w:pPr>
              <w:pStyle w:val="BodyText"/>
              <w:numPr>
                <w:ilvl w:val="0"/>
                <w:numId w:val="0"/>
              </w:numPr>
              <w:ind w:left="720" w:hanging="720"/>
              <w:rPr>
                <w:rFonts w:asciiTheme="minorHAnsi" w:hAnsiTheme="minorHAnsi"/>
              </w:rPr>
            </w:pPr>
          </w:p>
          <w:p w14:paraId="25418CBA" w14:textId="77777777" w:rsidR="007E6AA8" w:rsidRDefault="007E6AA8" w:rsidP="00A57E63">
            <w:pPr>
              <w:pStyle w:val="BodyText"/>
              <w:numPr>
                <w:ilvl w:val="0"/>
                <w:numId w:val="0"/>
              </w:numPr>
              <w:ind w:left="720" w:hanging="720"/>
              <w:rPr>
                <w:rFonts w:asciiTheme="minorHAnsi" w:hAnsiTheme="minorHAnsi"/>
              </w:rPr>
            </w:pPr>
          </w:p>
          <w:p w14:paraId="5EC07470" w14:textId="77777777" w:rsidR="007E6AA8" w:rsidRDefault="007E6AA8" w:rsidP="00A57E63">
            <w:pPr>
              <w:pStyle w:val="BodyText"/>
              <w:numPr>
                <w:ilvl w:val="0"/>
                <w:numId w:val="0"/>
              </w:numPr>
              <w:ind w:left="720" w:hanging="720"/>
              <w:rPr>
                <w:rFonts w:asciiTheme="minorHAnsi" w:hAnsiTheme="minorHAnsi"/>
              </w:rPr>
            </w:pPr>
          </w:p>
          <w:p w14:paraId="183FE7B9" w14:textId="77777777" w:rsidR="007E6AA8" w:rsidRDefault="007E6AA8" w:rsidP="00A57E63">
            <w:pPr>
              <w:pStyle w:val="BodyText"/>
              <w:numPr>
                <w:ilvl w:val="0"/>
                <w:numId w:val="0"/>
              </w:numPr>
              <w:ind w:left="720" w:hanging="720"/>
              <w:rPr>
                <w:rFonts w:asciiTheme="minorHAnsi" w:hAnsiTheme="minorHAnsi"/>
              </w:rPr>
            </w:pPr>
          </w:p>
          <w:p w14:paraId="7F60C9FB" w14:textId="77777777" w:rsidR="00F24583" w:rsidRDefault="00F24583" w:rsidP="008A4D07">
            <w:pPr>
              <w:pStyle w:val="BodyText"/>
              <w:numPr>
                <w:ilvl w:val="0"/>
                <w:numId w:val="0"/>
              </w:numPr>
              <w:rPr>
                <w:rFonts w:asciiTheme="minorHAnsi" w:hAnsiTheme="minorHAnsi"/>
              </w:rPr>
            </w:pPr>
          </w:p>
          <w:p w14:paraId="6EF2F8EA" w14:textId="77777777" w:rsidR="008A4D07" w:rsidRDefault="008A4D07" w:rsidP="008A4D07">
            <w:pPr>
              <w:pStyle w:val="BodyText"/>
              <w:numPr>
                <w:ilvl w:val="0"/>
                <w:numId w:val="0"/>
              </w:numPr>
              <w:rPr>
                <w:rFonts w:asciiTheme="minorHAnsi" w:hAnsiTheme="minorHAnsi"/>
              </w:rPr>
            </w:pPr>
          </w:p>
          <w:p w14:paraId="2327775D" w14:textId="77777777" w:rsidR="008A4D07" w:rsidRDefault="008A4D07" w:rsidP="008A4D07">
            <w:pPr>
              <w:pStyle w:val="BodyText"/>
              <w:numPr>
                <w:ilvl w:val="0"/>
                <w:numId w:val="0"/>
              </w:numPr>
              <w:rPr>
                <w:rFonts w:asciiTheme="minorHAnsi" w:hAnsiTheme="minorHAnsi"/>
              </w:rPr>
            </w:pPr>
          </w:p>
          <w:p w14:paraId="72344F50" w14:textId="77777777" w:rsidR="008A4D07" w:rsidRDefault="008A4D07" w:rsidP="008A4D07">
            <w:pPr>
              <w:pStyle w:val="BodyText"/>
              <w:numPr>
                <w:ilvl w:val="0"/>
                <w:numId w:val="0"/>
              </w:numPr>
              <w:rPr>
                <w:rFonts w:asciiTheme="minorHAnsi" w:hAnsiTheme="minorHAnsi"/>
              </w:rPr>
            </w:pPr>
          </w:p>
          <w:p w14:paraId="626BBA77" w14:textId="77777777" w:rsidR="008A4D07" w:rsidRDefault="008A4D07" w:rsidP="008A4D07">
            <w:pPr>
              <w:pStyle w:val="BodyText"/>
              <w:numPr>
                <w:ilvl w:val="0"/>
                <w:numId w:val="0"/>
              </w:numPr>
              <w:rPr>
                <w:rFonts w:asciiTheme="minorHAnsi" w:hAnsiTheme="minorHAnsi"/>
              </w:rPr>
            </w:pPr>
          </w:p>
          <w:p w14:paraId="1CDBCA40" w14:textId="77777777" w:rsidR="008A4D07" w:rsidRDefault="008A4D07" w:rsidP="008A4D07">
            <w:pPr>
              <w:pStyle w:val="BodyText"/>
              <w:numPr>
                <w:ilvl w:val="0"/>
                <w:numId w:val="0"/>
              </w:numPr>
              <w:rPr>
                <w:rFonts w:asciiTheme="minorHAnsi" w:hAnsiTheme="minorHAnsi"/>
              </w:rPr>
            </w:pPr>
          </w:p>
          <w:p w14:paraId="65DCB720" w14:textId="77777777" w:rsidR="008A4D07" w:rsidRDefault="008A4D07" w:rsidP="008A4D07">
            <w:pPr>
              <w:pStyle w:val="BodyText"/>
              <w:numPr>
                <w:ilvl w:val="0"/>
                <w:numId w:val="0"/>
              </w:numPr>
              <w:rPr>
                <w:rFonts w:asciiTheme="minorHAnsi" w:hAnsiTheme="minorHAnsi"/>
              </w:rPr>
            </w:pPr>
          </w:p>
          <w:p w14:paraId="08FB7DE9" w14:textId="77777777" w:rsidR="008A4D07" w:rsidRDefault="008A4D07" w:rsidP="008A4D07">
            <w:pPr>
              <w:pStyle w:val="BodyText"/>
              <w:numPr>
                <w:ilvl w:val="0"/>
                <w:numId w:val="0"/>
              </w:numPr>
              <w:rPr>
                <w:rFonts w:asciiTheme="minorHAnsi" w:hAnsiTheme="minorHAnsi"/>
              </w:rPr>
            </w:pPr>
          </w:p>
          <w:p w14:paraId="08312634" w14:textId="77777777" w:rsidR="008A4D07" w:rsidRDefault="008A4D07" w:rsidP="008A4D07">
            <w:pPr>
              <w:pStyle w:val="BodyText"/>
              <w:numPr>
                <w:ilvl w:val="0"/>
                <w:numId w:val="0"/>
              </w:numPr>
              <w:rPr>
                <w:rFonts w:asciiTheme="minorHAnsi" w:hAnsiTheme="minorHAnsi"/>
              </w:rPr>
            </w:pPr>
          </w:p>
          <w:p w14:paraId="10F64084" w14:textId="77777777" w:rsidR="008A4D07" w:rsidRDefault="008A4D07" w:rsidP="008A4D07">
            <w:pPr>
              <w:pStyle w:val="BodyText"/>
              <w:numPr>
                <w:ilvl w:val="0"/>
                <w:numId w:val="0"/>
              </w:numPr>
              <w:rPr>
                <w:rFonts w:asciiTheme="minorHAnsi" w:hAnsiTheme="minorHAnsi"/>
              </w:rPr>
            </w:pPr>
          </w:p>
          <w:p w14:paraId="474E916A" w14:textId="609360D2" w:rsidR="008A4D07" w:rsidRPr="00A75839" w:rsidRDefault="008A4D07" w:rsidP="008A4D07">
            <w:pPr>
              <w:pStyle w:val="BodyText"/>
              <w:numPr>
                <w:ilvl w:val="0"/>
                <w:numId w:val="0"/>
              </w:numPr>
              <w:rPr>
                <w:rFonts w:asciiTheme="minorHAnsi" w:hAnsiTheme="minorHAnsi"/>
              </w:rPr>
            </w:pPr>
          </w:p>
        </w:tc>
      </w:tr>
      <w:tr w:rsidR="003252C7" w14:paraId="0493983B" w14:textId="77777777" w:rsidTr="003252C7">
        <w:tc>
          <w:tcPr>
            <w:tcW w:w="11199" w:type="dxa"/>
            <w:shd w:val="clear" w:color="auto" w:fill="D9D9D9" w:themeFill="background1" w:themeFillShade="D9"/>
          </w:tcPr>
          <w:p w14:paraId="62918B23" w14:textId="77777777" w:rsidR="003252C7" w:rsidRPr="003252C7" w:rsidRDefault="003252C7" w:rsidP="00761A27">
            <w:pPr>
              <w:pStyle w:val="BodyText"/>
              <w:numPr>
                <w:ilvl w:val="0"/>
                <w:numId w:val="5"/>
              </w:numPr>
              <w:rPr>
                <w:rFonts w:asciiTheme="minorHAnsi" w:hAnsiTheme="minorHAnsi"/>
                <w:b/>
              </w:rPr>
            </w:pPr>
            <w:r w:rsidRPr="003252C7">
              <w:rPr>
                <w:rFonts w:asciiTheme="minorHAnsi" w:hAnsiTheme="minorHAnsi"/>
                <w:b/>
              </w:rPr>
              <w:lastRenderedPageBreak/>
              <w:t>Consultation on PCF</w:t>
            </w:r>
            <w:r w:rsidR="00FD460F">
              <w:rPr>
                <w:rFonts w:asciiTheme="minorHAnsi" w:hAnsiTheme="minorHAnsi"/>
                <w:b/>
              </w:rPr>
              <w:t xml:space="preserve">  </w:t>
            </w:r>
          </w:p>
        </w:tc>
      </w:tr>
      <w:tr w:rsidR="00A75839" w14:paraId="2605D567" w14:textId="77777777" w:rsidTr="00A75839">
        <w:trPr>
          <w:trHeight w:val="1807"/>
        </w:trPr>
        <w:tc>
          <w:tcPr>
            <w:tcW w:w="11199" w:type="dxa"/>
          </w:tcPr>
          <w:p w14:paraId="2D43D318" w14:textId="77777777" w:rsidR="00A82948" w:rsidRDefault="00A75839" w:rsidP="00C8136B">
            <w:pPr>
              <w:pStyle w:val="BodyText"/>
              <w:numPr>
                <w:ilvl w:val="0"/>
                <w:numId w:val="13"/>
              </w:numPr>
              <w:rPr>
                <w:rFonts w:asciiTheme="minorHAnsi" w:hAnsiTheme="minorHAnsi"/>
              </w:rPr>
            </w:pPr>
            <w:r>
              <w:rPr>
                <w:rFonts w:asciiTheme="minorHAnsi" w:hAnsiTheme="minorHAnsi"/>
              </w:rPr>
              <w:t>Description of the consultation process co</w:t>
            </w:r>
            <w:r w:rsidR="00A82948">
              <w:rPr>
                <w:rFonts w:asciiTheme="minorHAnsi" w:hAnsiTheme="minorHAnsi"/>
              </w:rPr>
              <w:t>nducted with fee paying members</w:t>
            </w:r>
            <w:r w:rsidR="00EB267F">
              <w:rPr>
                <w:rStyle w:val="FootnoteReference"/>
              </w:rPr>
              <w:footnoteReference w:id="3"/>
            </w:r>
            <w:r w:rsidR="00A82948">
              <w:rPr>
                <w:rFonts w:asciiTheme="minorHAnsi" w:hAnsiTheme="minorHAnsi"/>
              </w:rPr>
              <w:t xml:space="preserve"> </w:t>
            </w:r>
          </w:p>
          <w:p w14:paraId="1E061A62" w14:textId="77777777" w:rsidR="00A75839" w:rsidRDefault="00A82948" w:rsidP="00A82948">
            <w:pPr>
              <w:pStyle w:val="BodyText"/>
              <w:numPr>
                <w:ilvl w:val="0"/>
                <w:numId w:val="12"/>
              </w:numPr>
              <w:rPr>
                <w:rFonts w:asciiTheme="minorHAnsi" w:hAnsiTheme="minorHAnsi"/>
              </w:rPr>
            </w:pPr>
            <w:r>
              <w:rPr>
                <w:rFonts w:asciiTheme="minorHAnsi" w:hAnsiTheme="minorHAnsi"/>
              </w:rPr>
              <w:t>including length of time the published consultation was open</w:t>
            </w:r>
          </w:p>
          <w:p w14:paraId="6B2EF332" w14:textId="77777777" w:rsidR="00A82948" w:rsidRDefault="00EA005D" w:rsidP="000F07D9">
            <w:pPr>
              <w:pStyle w:val="BodyText"/>
              <w:numPr>
                <w:ilvl w:val="0"/>
                <w:numId w:val="10"/>
              </w:numPr>
              <w:rPr>
                <w:rFonts w:asciiTheme="minorHAnsi" w:hAnsiTheme="minorHAnsi"/>
              </w:rPr>
            </w:pPr>
            <w:r>
              <w:rPr>
                <w:rFonts w:asciiTheme="minorHAnsi" w:hAnsiTheme="minorHAnsi"/>
              </w:rPr>
              <w:t>s</w:t>
            </w:r>
            <w:r w:rsidR="00A82948">
              <w:rPr>
                <w:rFonts w:asciiTheme="minorHAnsi" w:hAnsiTheme="minorHAnsi"/>
              </w:rPr>
              <w:t>ummary of consultation responses</w:t>
            </w:r>
          </w:p>
          <w:p w14:paraId="0334BDF4" w14:textId="77777777" w:rsidR="00A82948" w:rsidRDefault="00EA005D" w:rsidP="000F07D9">
            <w:pPr>
              <w:pStyle w:val="BodyText"/>
              <w:numPr>
                <w:ilvl w:val="0"/>
                <w:numId w:val="10"/>
              </w:numPr>
              <w:rPr>
                <w:rFonts w:asciiTheme="minorHAnsi" w:hAnsiTheme="minorHAnsi"/>
              </w:rPr>
            </w:pPr>
            <w:r>
              <w:rPr>
                <w:rFonts w:asciiTheme="minorHAnsi" w:hAnsiTheme="minorHAnsi"/>
              </w:rPr>
              <w:t>c</w:t>
            </w:r>
            <w:r w:rsidR="00A82948">
              <w:rPr>
                <w:rFonts w:asciiTheme="minorHAnsi" w:hAnsiTheme="minorHAnsi"/>
              </w:rPr>
              <w:t>hanges to the PCF proposals as a consequence of consultation responses</w:t>
            </w:r>
          </w:p>
          <w:p w14:paraId="1967E5A0" w14:textId="7AA61870" w:rsidR="00EA005D" w:rsidRDefault="00EA005D" w:rsidP="000F07D9">
            <w:pPr>
              <w:pStyle w:val="BodyText"/>
              <w:numPr>
                <w:ilvl w:val="0"/>
                <w:numId w:val="10"/>
              </w:numPr>
              <w:rPr>
                <w:rFonts w:asciiTheme="minorHAnsi" w:hAnsiTheme="minorHAnsi"/>
              </w:rPr>
            </w:pPr>
            <w:r w:rsidRPr="003D70E6">
              <w:rPr>
                <w:rFonts w:asciiTheme="minorHAnsi" w:hAnsiTheme="minorHAnsi"/>
              </w:rPr>
              <w:t>details of consultation with non-commercial bodies (e.g.</w:t>
            </w:r>
            <w:r>
              <w:rPr>
                <w:rFonts w:asciiTheme="minorHAnsi" w:hAnsiTheme="minorHAnsi"/>
              </w:rPr>
              <w:t xml:space="preserve"> Law centres federation</w:t>
            </w:r>
            <w:r w:rsidR="00EB267F">
              <w:rPr>
                <w:rFonts w:asciiTheme="minorHAnsi" w:hAnsiTheme="minorHAnsi"/>
              </w:rPr>
              <w:t xml:space="preserve">, Citizens Advice </w:t>
            </w:r>
            <w:r w:rsidR="00447667">
              <w:rPr>
                <w:rFonts w:asciiTheme="minorHAnsi" w:hAnsiTheme="minorHAnsi"/>
              </w:rPr>
              <w:t>etc.</w:t>
            </w:r>
            <w:r>
              <w:rPr>
                <w:rFonts w:asciiTheme="minorHAnsi" w:hAnsiTheme="minorHAnsi"/>
              </w:rPr>
              <w:t>)</w:t>
            </w:r>
            <w:r w:rsidR="00EB267F">
              <w:rPr>
                <w:rFonts w:asciiTheme="minorHAnsi" w:hAnsiTheme="minorHAnsi"/>
              </w:rPr>
              <w:t xml:space="preserve"> or an explanation of why their views had not been sought</w:t>
            </w:r>
            <w:r w:rsidR="00480343">
              <w:rPr>
                <w:rFonts w:asciiTheme="minorHAnsi" w:hAnsiTheme="minorHAnsi"/>
              </w:rPr>
              <w:t>.</w:t>
            </w:r>
          </w:p>
          <w:p w14:paraId="41E0F681" w14:textId="77777777" w:rsidR="007E6AA8" w:rsidRDefault="00E0543B" w:rsidP="007E6AA8">
            <w:pPr>
              <w:pStyle w:val="BodyText"/>
              <w:numPr>
                <w:ilvl w:val="0"/>
                <w:numId w:val="0"/>
              </w:numPr>
              <w:ind w:left="720" w:hanging="720"/>
              <w:rPr>
                <w:rFonts w:asciiTheme="minorHAnsi" w:hAnsiTheme="minorHAnsi"/>
              </w:rPr>
            </w:pPr>
            <w:r>
              <w:rPr>
                <w:rFonts w:asciiTheme="minorHAnsi" w:hAnsiTheme="minorHAnsi"/>
                <w:noProof/>
                <w:lang w:eastAsia="en-GB" w:bidi="ar-SA"/>
              </w:rPr>
              <mc:AlternateContent>
                <mc:Choice Requires="wps">
                  <w:drawing>
                    <wp:anchor distT="0" distB="0" distL="114300" distR="114300" simplePos="0" relativeHeight="251661312" behindDoc="0" locked="0" layoutInCell="1" allowOverlap="1" wp14:anchorId="1309FF0C" wp14:editId="018A204B">
                      <wp:simplePos x="0" y="0"/>
                      <wp:positionH relativeFrom="column">
                        <wp:posOffset>36154</wp:posOffset>
                      </wp:positionH>
                      <wp:positionV relativeFrom="paragraph">
                        <wp:posOffset>118683</wp:posOffset>
                      </wp:positionV>
                      <wp:extent cx="6518623" cy="1533832"/>
                      <wp:effectExtent l="0" t="0" r="9525" b="15875"/>
                      <wp:wrapNone/>
                      <wp:docPr id="3" name="Text Box 3"/>
                      <wp:cNvGraphicFramePr/>
                      <a:graphic xmlns:a="http://schemas.openxmlformats.org/drawingml/2006/main">
                        <a:graphicData uri="http://schemas.microsoft.com/office/word/2010/wordprocessingShape">
                          <wps:wsp>
                            <wps:cNvSpPr txBox="1"/>
                            <wps:spPr>
                              <a:xfrm>
                                <a:off x="0" y="0"/>
                                <a:ext cx="6518623" cy="1533832"/>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1D3B527" w14:textId="77777777" w:rsidR="00921154" w:rsidRDefault="00921154" w:rsidP="007E6AA8">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61D98F2E" w14:textId="77777777" w:rsidR="00921154" w:rsidRDefault="00921154" w:rsidP="007E6AA8">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(a): description of how the application was developed and settled, including any consultation carried out, whether or not some consultation was carried out by the Board</w:t>
                                  </w:r>
                                </w:p>
                                <w:p w14:paraId="7256B4D8" w14:textId="77777777" w:rsidR="00921154" w:rsidRDefault="00921154" w:rsidP="007E6AA8">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12: in considering an application submitted to it under this Part of these Rules, the Board reserves the right to consult any person it considers appropriate. In particular, it reserves the right to consult the Consumer Panel about the impact of proposed fees on persons providing non-commercial services.</w:t>
                                  </w:r>
                                </w:p>
                                <w:p w14:paraId="0364BA35" w14:textId="77777777" w:rsidR="00921154" w:rsidRDefault="00921154" w:rsidP="007E6AA8">
                                  <w:pPr>
                                    <w:rPr>
                                      <w:color w:val="4354EF"/>
                                      <w14:textOutline w14:w="9525" w14:cap="rnd" w14:cmpd="sng" w14:algn="ctr">
                                        <w14:solidFill>
                                          <w14:srgbClr w14:val="0070C0"/>
                                        </w14:solidFill>
                                        <w14:prstDash w14:val="solid"/>
                                        <w14:bevel/>
                                      </w14:textOutline>
                                    </w:rPr>
                                  </w:pPr>
                                </w:p>
                                <w:p w14:paraId="4A4840EB" w14:textId="77777777" w:rsidR="00921154" w:rsidRPr="00AE6AEF" w:rsidRDefault="00921154" w:rsidP="007E6AA8">
                                  <w:pPr>
                                    <w:rPr>
                                      <w:color w:val="4354EF"/>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FF0C" id="Text Box 3" o:spid="_x0000_s1027" type="#_x0000_t202" style="position:absolute;left:0;text-align:left;margin-left:2.85pt;margin-top:9.35pt;width:513.3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" fillcolor="white [3201]" strokecolor="#4472c4 [3208]" strokeweight="1pt">
                      <v:textbox>
                        <w:txbxContent>
                          <w:p w14:paraId="71D3B527" w14:textId="77777777" w:rsidR="00921154" w:rsidRDefault="00921154" w:rsidP="007E6AA8">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61D98F2E" w14:textId="77777777" w:rsidR="00921154" w:rsidRDefault="00921154" w:rsidP="007E6AA8">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11 (a): description of how the application was developed and settled, including any consultation carried out, whether or not some consultation was carried out by the Board</w:t>
                            </w:r>
                          </w:p>
                          <w:p w14:paraId="7256B4D8" w14:textId="77777777" w:rsidR="00921154" w:rsidRDefault="00921154" w:rsidP="007E6AA8">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12: in considering an application submitted to it under this Part of these Rules, the Board reserves the right to consult any person it considers appropriate. In particular, it reserves the right to consult the Consumer Panel about the impact of proposed fees on persons providing non-commercial services.</w:t>
                            </w:r>
                          </w:p>
                          <w:p w14:paraId="0364BA35" w14:textId="77777777" w:rsidR="00921154" w:rsidRDefault="00921154" w:rsidP="007E6AA8">
                            <w:pPr>
                              <w:rPr>
                                <w:color w:val="4354EF"/>
                                <w14:textOutline w14:w="9525" w14:cap="rnd" w14:cmpd="sng" w14:algn="ctr">
                                  <w14:solidFill>
                                    <w14:srgbClr w14:val="0070C0"/>
                                  </w14:solidFill>
                                  <w14:prstDash w14:val="solid"/>
                                  <w14:bevel/>
                                </w14:textOutline>
                              </w:rPr>
                            </w:pPr>
                          </w:p>
                          <w:p w14:paraId="4A4840EB" w14:textId="77777777" w:rsidR="00921154" w:rsidRPr="00AE6AEF" w:rsidRDefault="00921154" w:rsidP="007E6AA8">
                            <w:pPr>
                              <w:rPr>
                                <w:color w:val="4354EF"/>
                                <w14:textOutline w14:w="9525" w14:cap="rnd" w14:cmpd="sng" w14:algn="ctr">
                                  <w14:solidFill>
                                    <w14:srgbClr w14:val="0070C0"/>
                                  </w14:solidFill>
                                  <w14:prstDash w14:val="solid"/>
                                  <w14:bevel/>
                                </w14:textOutline>
                              </w:rPr>
                            </w:pPr>
                          </w:p>
                        </w:txbxContent>
                      </v:textbox>
                    </v:shape>
                  </w:pict>
                </mc:Fallback>
              </mc:AlternateContent>
            </w:r>
          </w:p>
          <w:p w14:paraId="6E5D995D" w14:textId="77777777" w:rsidR="00A75839" w:rsidRDefault="00A75839" w:rsidP="007E6AA8">
            <w:pPr>
              <w:pStyle w:val="BodyText"/>
              <w:numPr>
                <w:ilvl w:val="0"/>
                <w:numId w:val="0"/>
              </w:numPr>
              <w:ind w:left="720" w:hanging="720"/>
              <w:rPr>
                <w:rFonts w:asciiTheme="minorHAnsi" w:hAnsiTheme="minorHAnsi"/>
              </w:rPr>
            </w:pPr>
          </w:p>
          <w:p w14:paraId="17D17136" w14:textId="77777777" w:rsidR="007E6AA8" w:rsidRDefault="007E6AA8" w:rsidP="007E6AA8">
            <w:pPr>
              <w:pStyle w:val="BodyText"/>
              <w:numPr>
                <w:ilvl w:val="0"/>
                <w:numId w:val="0"/>
              </w:numPr>
              <w:ind w:left="720" w:hanging="720"/>
              <w:rPr>
                <w:rFonts w:asciiTheme="minorHAnsi" w:hAnsiTheme="minorHAnsi"/>
              </w:rPr>
            </w:pPr>
          </w:p>
          <w:p w14:paraId="58F0D1CC" w14:textId="77777777" w:rsidR="007E6AA8" w:rsidRDefault="007E6AA8" w:rsidP="007E6AA8">
            <w:pPr>
              <w:pStyle w:val="BodyText"/>
              <w:numPr>
                <w:ilvl w:val="0"/>
                <w:numId w:val="0"/>
              </w:numPr>
              <w:ind w:left="720" w:hanging="720"/>
              <w:rPr>
                <w:rFonts w:asciiTheme="minorHAnsi" w:hAnsiTheme="minorHAnsi"/>
              </w:rPr>
            </w:pPr>
          </w:p>
          <w:p w14:paraId="29AD6D41" w14:textId="77777777" w:rsidR="00E0543B" w:rsidRDefault="00E0543B" w:rsidP="007E6AA8">
            <w:pPr>
              <w:pStyle w:val="BodyText"/>
              <w:numPr>
                <w:ilvl w:val="0"/>
                <w:numId w:val="0"/>
              </w:numPr>
              <w:ind w:left="720" w:hanging="720"/>
              <w:rPr>
                <w:rFonts w:asciiTheme="minorHAnsi" w:hAnsiTheme="minorHAnsi"/>
              </w:rPr>
            </w:pPr>
          </w:p>
          <w:p w14:paraId="7D4530E6" w14:textId="77777777" w:rsidR="00E0543B" w:rsidRDefault="00E0543B" w:rsidP="007E6AA8">
            <w:pPr>
              <w:pStyle w:val="BodyText"/>
              <w:numPr>
                <w:ilvl w:val="0"/>
                <w:numId w:val="0"/>
              </w:numPr>
              <w:ind w:left="720" w:hanging="720"/>
              <w:rPr>
                <w:rFonts w:asciiTheme="minorHAnsi" w:hAnsiTheme="minorHAnsi"/>
              </w:rPr>
            </w:pPr>
          </w:p>
          <w:p w14:paraId="6271E309" w14:textId="77777777" w:rsidR="00E0543B" w:rsidRDefault="00E0543B" w:rsidP="007E6AA8">
            <w:pPr>
              <w:pStyle w:val="BodyText"/>
              <w:numPr>
                <w:ilvl w:val="0"/>
                <w:numId w:val="0"/>
              </w:numPr>
              <w:ind w:left="720" w:hanging="720"/>
              <w:rPr>
                <w:rFonts w:asciiTheme="minorHAnsi" w:hAnsiTheme="minorHAnsi"/>
              </w:rPr>
            </w:pPr>
          </w:p>
          <w:p w14:paraId="461FB74C" w14:textId="77777777" w:rsidR="00E0543B" w:rsidRDefault="00E0543B" w:rsidP="007E6AA8">
            <w:pPr>
              <w:pStyle w:val="BodyText"/>
              <w:numPr>
                <w:ilvl w:val="0"/>
                <w:numId w:val="0"/>
              </w:numPr>
              <w:ind w:left="720" w:hanging="720"/>
              <w:rPr>
                <w:rFonts w:asciiTheme="minorHAnsi" w:hAnsiTheme="minorHAnsi"/>
              </w:rPr>
            </w:pPr>
          </w:p>
          <w:p w14:paraId="49C7AF15" w14:textId="77777777" w:rsidR="00E0543B" w:rsidRDefault="00E0543B" w:rsidP="007E6AA8">
            <w:pPr>
              <w:pStyle w:val="BodyText"/>
              <w:numPr>
                <w:ilvl w:val="0"/>
                <w:numId w:val="0"/>
              </w:numPr>
              <w:ind w:left="720" w:hanging="720"/>
              <w:rPr>
                <w:rFonts w:asciiTheme="minorHAnsi" w:hAnsiTheme="minorHAnsi"/>
              </w:rPr>
            </w:pPr>
          </w:p>
          <w:p w14:paraId="0C94959E" w14:textId="77777777" w:rsidR="00E0543B" w:rsidRDefault="00E0543B" w:rsidP="007E6AA8">
            <w:pPr>
              <w:pStyle w:val="BodyText"/>
              <w:numPr>
                <w:ilvl w:val="0"/>
                <w:numId w:val="0"/>
              </w:numPr>
              <w:ind w:left="720" w:hanging="720"/>
              <w:rPr>
                <w:rFonts w:asciiTheme="minorHAnsi" w:hAnsiTheme="minorHAnsi"/>
              </w:rPr>
            </w:pPr>
          </w:p>
          <w:p w14:paraId="3B3C91D6" w14:textId="77777777" w:rsidR="00E0543B" w:rsidRDefault="00E0543B" w:rsidP="007E6AA8">
            <w:pPr>
              <w:pStyle w:val="BodyText"/>
              <w:numPr>
                <w:ilvl w:val="0"/>
                <w:numId w:val="0"/>
              </w:numPr>
              <w:ind w:left="720" w:hanging="720"/>
              <w:rPr>
                <w:rFonts w:asciiTheme="minorHAnsi" w:hAnsiTheme="minorHAnsi"/>
              </w:rPr>
            </w:pPr>
          </w:p>
          <w:p w14:paraId="1DB38481" w14:textId="77777777" w:rsidR="00E0543B" w:rsidRDefault="00E0543B" w:rsidP="007E6AA8">
            <w:pPr>
              <w:pStyle w:val="BodyText"/>
              <w:numPr>
                <w:ilvl w:val="0"/>
                <w:numId w:val="0"/>
              </w:numPr>
              <w:ind w:left="720" w:hanging="720"/>
              <w:rPr>
                <w:rFonts w:asciiTheme="minorHAnsi" w:hAnsiTheme="minorHAnsi"/>
              </w:rPr>
            </w:pPr>
          </w:p>
          <w:p w14:paraId="0AEF0077" w14:textId="77777777" w:rsidR="00EF4593" w:rsidRDefault="00EF4593" w:rsidP="007E6AA8">
            <w:pPr>
              <w:pStyle w:val="BodyText"/>
              <w:numPr>
                <w:ilvl w:val="0"/>
                <w:numId w:val="0"/>
              </w:numPr>
              <w:ind w:left="720" w:hanging="720"/>
              <w:rPr>
                <w:rFonts w:asciiTheme="minorHAnsi" w:hAnsiTheme="minorHAnsi"/>
              </w:rPr>
            </w:pPr>
          </w:p>
          <w:p w14:paraId="0DF1802B" w14:textId="77777777" w:rsidR="00EF4593" w:rsidRDefault="00EF4593" w:rsidP="007E6AA8">
            <w:pPr>
              <w:pStyle w:val="BodyText"/>
              <w:numPr>
                <w:ilvl w:val="0"/>
                <w:numId w:val="0"/>
              </w:numPr>
              <w:ind w:left="720" w:hanging="720"/>
              <w:rPr>
                <w:rFonts w:asciiTheme="minorHAnsi" w:hAnsiTheme="minorHAnsi"/>
              </w:rPr>
            </w:pPr>
          </w:p>
          <w:p w14:paraId="7FE59804" w14:textId="2EE78478" w:rsidR="00E0543B" w:rsidRDefault="00E0543B" w:rsidP="00E0543B">
            <w:pPr>
              <w:pStyle w:val="BodyText"/>
              <w:numPr>
                <w:ilvl w:val="0"/>
                <w:numId w:val="0"/>
              </w:numPr>
              <w:rPr>
                <w:rFonts w:asciiTheme="minorHAnsi" w:hAnsiTheme="minorHAnsi"/>
              </w:rPr>
            </w:pPr>
          </w:p>
        </w:tc>
      </w:tr>
      <w:tr w:rsidR="00761A27" w14:paraId="3A4AC02F" w14:textId="77777777" w:rsidTr="00761A27">
        <w:tc>
          <w:tcPr>
            <w:tcW w:w="11199" w:type="dxa"/>
            <w:shd w:val="clear" w:color="auto" w:fill="D9D9D9" w:themeFill="background1" w:themeFillShade="D9"/>
          </w:tcPr>
          <w:p w14:paraId="48D8A550" w14:textId="77777777" w:rsidR="00761A27" w:rsidRPr="00761A27" w:rsidRDefault="00761A27" w:rsidP="00761A27">
            <w:pPr>
              <w:pStyle w:val="BodyText"/>
              <w:numPr>
                <w:ilvl w:val="0"/>
                <w:numId w:val="5"/>
              </w:numPr>
              <w:rPr>
                <w:rFonts w:asciiTheme="minorHAnsi" w:hAnsiTheme="minorHAnsi"/>
                <w:b/>
              </w:rPr>
            </w:pPr>
            <w:r w:rsidRPr="00761A27">
              <w:rPr>
                <w:rFonts w:asciiTheme="minorHAnsi" w:hAnsiTheme="minorHAnsi"/>
                <w:b/>
              </w:rPr>
              <w:lastRenderedPageBreak/>
              <w:t>Permitted Purposes</w:t>
            </w:r>
            <w:r w:rsidR="008C050B">
              <w:rPr>
                <w:rStyle w:val="FootnoteReference"/>
                <w:b/>
              </w:rPr>
              <w:footnoteReference w:id="4"/>
            </w:r>
          </w:p>
        </w:tc>
      </w:tr>
      <w:tr w:rsidR="00A75839" w14:paraId="2C531D1F" w14:textId="77777777" w:rsidTr="00A75839">
        <w:tc>
          <w:tcPr>
            <w:tcW w:w="11199" w:type="dxa"/>
          </w:tcPr>
          <w:p w14:paraId="5F4AF88F" w14:textId="5084E152" w:rsidR="009C1741" w:rsidRDefault="009C1741" w:rsidP="00FB02C3">
            <w:pPr>
              <w:pStyle w:val="BodyText"/>
              <w:numPr>
                <w:ilvl w:val="0"/>
                <w:numId w:val="0"/>
              </w:numPr>
              <w:ind w:left="720" w:hanging="720"/>
              <w:rPr>
                <w:rFonts w:asciiTheme="minorHAnsi" w:hAnsiTheme="minorHAnsi"/>
              </w:rPr>
            </w:pPr>
            <w:r>
              <w:rPr>
                <w:rFonts w:asciiTheme="minorHAnsi" w:hAnsiTheme="minorHAnsi"/>
              </w:rPr>
              <w:t>This section requires information for both the current and budget year</w:t>
            </w:r>
          </w:p>
          <w:p w14:paraId="60BBA7E9" w14:textId="45474102" w:rsidR="00D040BC" w:rsidRDefault="00044C5D" w:rsidP="00C8136B">
            <w:pPr>
              <w:pStyle w:val="BodyText"/>
              <w:numPr>
                <w:ilvl w:val="0"/>
                <w:numId w:val="14"/>
              </w:numPr>
              <w:rPr>
                <w:rFonts w:asciiTheme="minorHAnsi" w:hAnsiTheme="minorHAnsi"/>
              </w:rPr>
            </w:pPr>
            <w:r>
              <w:rPr>
                <w:rFonts w:asciiTheme="minorHAnsi" w:hAnsiTheme="minorHAnsi"/>
              </w:rPr>
              <w:t xml:space="preserve">Description of </w:t>
            </w:r>
            <w:r w:rsidR="00480343">
              <w:rPr>
                <w:rFonts w:asciiTheme="minorHAnsi" w:hAnsiTheme="minorHAnsi"/>
              </w:rPr>
              <w:t xml:space="preserve">total income </w:t>
            </w:r>
            <w:r w:rsidR="001F2A97">
              <w:rPr>
                <w:rFonts w:asciiTheme="minorHAnsi" w:hAnsiTheme="minorHAnsi"/>
              </w:rPr>
              <w:t xml:space="preserve">(PCF and non-PCF) </w:t>
            </w:r>
            <w:r w:rsidR="00D040BC">
              <w:rPr>
                <w:rFonts w:asciiTheme="minorHAnsi" w:hAnsiTheme="minorHAnsi"/>
              </w:rPr>
              <w:t xml:space="preserve">allocated to </w:t>
            </w:r>
            <w:r w:rsidR="00480343">
              <w:rPr>
                <w:rFonts w:asciiTheme="minorHAnsi" w:hAnsiTheme="minorHAnsi"/>
              </w:rPr>
              <w:t>permitted purpose</w:t>
            </w:r>
            <w:r w:rsidR="0065294D">
              <w:rPr>
                <w:rFonts w:asciiTheme="minorHAnsi" w:hAnsiTheme="minorHAnsi"/>
              </w:rPr>
              <w:t xml:space="preserve"> </w:t>
            </w:r>
            <w:r w:rsidR="001F2A97">
              <w:rPr>
                <w:rFonts w:asciiTheme="minorHAnsi" w:hAnsiTheme="minorHAnsi"/>
              </w:rPr>
              <w:t xml:space="preserve"> including  </w:t>
            </w:r>
          </w:p>
          <w:p w14:paraId="1A257182" w14:textId="77777777" w:rsidR="007950CF" w:rsidRDefault="0065294D" w:rsidP="00D65923">
            <w:pPr>
              <w:pStyle w:val="BodyText"/>
              <w:numPr>
                <w:ilvl w:val="0"/>
                <w:numId w:val="17"/>
              </w:numPr>
              <w:ind w:left="743" w:hanging="284"/>
              <w:rPr>
                <w:rFonts w:asciiTheme="minorHAnsi" w:hAnsiTheme="minorHAnsi"/>
              </w:rPr>
            </w:pPr>
            <w:r>
              <w:rPr>
                <w:rFonts w:asciiTheme="minorHAnsi" w:hAnsiTheme="minorHAnsi"/>
              </w:rPr>
              <w:t>Non-PCF income allocated or spent on permitted purposes, broken down by department/expenditure category</w:t>
            </w:r>
          </w:p>
          <w:p w14:paraId="2980563B" w14:textId="246A5344" w:rsidR="001F2A97" w:rsidRDefault="007950CF" w:rsidP="00D65923">
            <w:pPr>
              <w:pStyle w:val="BodyText"/>
              <w:numPr>
                <w:ilvl w:val="0"/>
                <w:numId w:val="17"/>
              </w:numPr>
              <w:ind w:left="743" w:hanging="284"/>
              <w:rPr>
                <w:rFonts w:asciiTheme="minorHAnsi" w:hAnsiTheme="minorHAnsi"/>
              </w:rPr>
            </w:pPr>
            <w:r>
              <w:rPr>
                <w:rFonts w:asciiTheme="minorHAnsi" w:hAnsiTheme="minorHAnsi"/>
              </w:rPr>
              <w:t>Commercial income arising from PCF funded permitted purposes</w:t>
            </w:r>
            <w:r w:rsidR="00E13B13">
              <w:rPr>
                <w:rStyle w:val="FootnoteReference"/>
              </w:rPr>
              <w:footnoteReference w:id="5"/>
            </w:r>
            <w:r w:rsidR="000128EC">
              <w:rPr>
                <w:rFonts w:asciiTheme="minorHAnsi" w:hAnsiTheme="minorHAnsi"/>
              </w:rPr>
              <w:t xml:space="preserve"> </w:t>
            </w:r>
            <w:r w:rsidR="00921154">
              <w:rPr>
                <w:rFonts w:asciiTheme="minorHAnsi" w:hAnsiTheme="minorHAnsi"/>
              </w:rPr>
              <w:t xml:space="preserve"> </w:t>
            </w:r>
            <w:r w:rsidR="001A3CA5">
              <w:rPr>
                <w:rFonts w:asciiTheme="minorHAnsi" w:hAnsiTheme="minorHAnsi"/>
              </w:rPr>
              <w:t>(and explanation if this income is to be used for non-permitted purposes)</w:t>
            </w:r>
          </w:p>
          <w:p w14:paraId="3B78CC48" w14:textId="43695D9C" w:rsidR="00A75839" w:rsidRPr="001F2A97" w:rsidRDefault="001F2A97" w:rsidP="001F2A97">
            <w:pPr>
              <w:pStyle w:val="BodyText"/>
              <w:numPr>
                <w:ilvl w:val="0"/>
                <w:numId w:val="14"/>
              </w:numPr>
              <w:rPr>
                <w:rFonts w:asciiTheme="minorHAnsi" w:hAnsiTheme="minorHAnsi"/>
              </w:rPr>
            </w:pPr>
            <w:r>
              <w:rPr>
                <w:rFonts w:asciiTheme="minorHAnsi" w:hAnsiTheme="minorHAnsi"/>
              </w:rPr>
              <w:t>Description of t</w:t>
            </w:r>
            <w:r w:rsidR="00044C5D" w:rsidRPr="001F2A97">
              <w:rPr>
                <w:rFonts w:asciiTheme="minorHAnsi" w:hAnsiTheme="minorHAnsi"/>
              </w:rPr>
              <w:t>otal PCF income</w:t>
            </w:r>
            <w:r w:rsidR="00480343" w:rsidRPr="001F2A97">
              <w:rPr>
                <w:rFonts w:asciiTheme="minorHAnsi" w:hAnsiTheme="minorHAnsi"/>
              </w:rPr>
              <w:t xml:space="preserve"> </w:t>
            </w:r>
            <w:r w:rsidR="0065294D">
              <w:rPr>
                <w:rFonts w:asciiTheme="minorHAnsi" w:hAnsiTheme="minorHAnsi"/>
              </w:rPr>
              <w:t>allocated</w:t>
            </w:r>
            <w:r w:rsidR="0065294D" w:rsidRPr="001F2A97">
              <w:rPr>
                <w:rFonts w:asciiTheme="minorHAnsi" w:hAnsiTheme="minorHAnsi"/>
              </w:rPr>
              <w:t xml:space="preserve"> </w:t>
            </w:r>
            <w:r w:rsidR="0065294D">
              <w:rPr>
                <w:rFonts w:asciiTheme="minorHAnsi" w:hAnsiTheme="minorHAnsi"/>
              </w:rPr>
              <w:t>solely to</w:t>
            </w:r>
            <w:r w:rsidR="0065294D" w:rsidRPr="001F2A97">
              <w:rPr>
                <w:rFonts w:asciiTheme="minorHAnsi" w:hAnsiTheme="minorHAnsi"/>
              </w:rPr>
              <w:t xml:space="preserve"> one or more permitted purposes</w:t>
            </w:r>
            <w:r w:rsidR="0045184B">
              <w:rPr>
                <w:rFonts w:asciiTheme="minorHAnsi" w:hAnsiTheme="minorHAnsi"/>
              </w:rPr>
              <w:t xml:space="preserve"> </w:t>
            </w:r>
            <w:r w:rsidR="00F24583">
              <w:rPr>
                <w:rFonts w:asciiTheme="minorHAnsi" w:hAnsiTheme="minorHAnsi"/>
              </w:rPr>
              <w:t xml:space="preserve">including </w:t>
            </w:r>
            <w:r>
              <w:rPr>
                <w:rFonts w:asciiTheme="minorHAnsi" w:hAnsiTheme="minorHAnsi"/>
              </w:rPr>
              <w:t xml:space="preserve">a breakdown of </w:t>
            </w:r>
          </w:p>
          <w:p w14:paraId="2441BE80" w14:textId="77777777" w:rsidR="008C050B" w:rsidRDefault="008C050B" w:rsidP="00044C5D">
            <w:pPr>
              <w:pStyle w:val="BodyText"/>
              <w:numPr>
                <w:ilvl w:val="0"/>
                <w:numId w:val="15"/>
              </w:numPr>
              <w:ind w:left="743" w:hanging="284"/>
              <w:rPr>
                <w:rFonts w:asciiTheme="minorHAnsi" w:hAnsiTheme="minorHAnsi"/>
              </w:rPr>
            </w:pPr>
            <w:r>
              <w:rPr>
                <w:rFonts w:asciiTheme="minorHAnsi" w:hAnsiTheme="minorHAnsi"/>
              </w:rPr>
              <w:t>PCF income allocation to ea</w:t>
            </w:r>
            <w:r w:rsidR="001A3CA5">
              <w:rPr>
                <w:rFonts w:asciiTheme="minorHAnsi" w:hAnsiTheme="minorHAnsi"/>
              </w:rPr>
              <w:t>ch regulatory permitted purpose</w:t>
            </w:r>
          </w:p>
          <w:p w14:paraId="0935EDE6" w14:textId="300ED48E" w:rsidR="00044C5D" w:rsidRDefault="008C050B" w:rsidP="00044C5D">
            <w:pPr>
              <w:pStyle w:val="BodyText"/>
              <w:numPr>
                <w:ilvl w:val="0"/>
                <w:numId w:val="15"/>
              </w:numPr>
              <w:ind w:left="743" w:hanging="284"/>
              <w:rPr>
                <w:rFonts w:asciiTheme="minorHAnsi" w:hAnsiTheme="minorHAnsi"/>
              </w:rPr>
            </w:pPr>
            <w:r>
              <w:rPr>
                <w:rFonts w:asciiTheme="minorHAnsi" w:hAnsiTheme="minorHAnsi"/>
              </w:rPr>
              <w:t xml:space="preserve">PCF income allocation to each non-regulatory </w:t>
            </w:r>
            <w:r w:rsidR="0093060C">
              <w:rPr>
                <w:rFonts w:asciiTheme="minorHAnsi" w:hAnsiTheme="minorHAnsi"/>
              </w:rPr>
              <w:t xml:space="preserve">(representative) </w:t>
            </w:r>
            <w:r>
              <w:rPr>
                <w:rFonts w:asciiTheme="minorHAnsi" w:hAnsiTheme="minorHAnsi"/>
              </w:rPr>
              <w:t xml:space="preserve">permitted purpose </w:t>
            </w:r>
          </w:p>
          <w:p w14:paraId="74F44946" w14:textId="155F31EB" w:rsidR="0045184B" w:rsidRDefault="0045184B" w:rsidP="00044C5D">
            <w:pPr>
              <w:pStyle w:val="BodyText"/>
              <w:numPr>
                <w:ilvl w:val="0"/>
                <w:numId w:val="15"/>
              </w:numPr>
              <w:ind w:left="743" w:hanging="284"/>
              <w:rPr>
                <w:rFonts w:asciiTheme="minorHAnsi" w:hAnsiTheme="minorHAnsi"/>
              </w:rPr>
            </w:pPr>
            <w:r>
              <w:rPr>
                <w:rFonts w:asciiTheme="minorHAnsi" w:hAnsiTheme="minorHAnsi"/>
              </w:rPr>
              <w:t>PCF income</w:t>
            </w:r>
            <w:r w:rsidR="00D65923">
              <w:rPr>
                <w:rFonts w:asciiTheme="minorHAnsi" w:hAnsiTheme="minorHAnsi"/>
              </w:rPr>
              <w:t xml:space="preserve"> allocated to shared/ central </w:t>
            </w:r>
            <w:r>
              <w:rPr>
                <w:rFonts w:asciiTheme="minorHAnsi" w:hAnsiTheme="minorHAnsi"/>
              </w:rPr>
              <w:t>services</w:t>
            </w:r>
            <w:r w:rsidR="009D267E">
              <w:rPr>
                <w:rFonts w:asciiTheme="minorHAnsi" w:hAnsiTheme="minorHAnsi"/>
              </w:rPr>
              <w:t xml:space="preserve"> between the regulatory and representative arm (broken down by department/ expenditure category)</w:t>
            </w:r>
            <w:r w:rsidR="004A50B0">
              <w:rPr>
                <w:rFonts w:asciiTheme="minorHAnsi" w:hAnsiTheme="minorHAnsi"/>
              </w:rPr>
              <w:t>.</w:t>
            </w:r>
          </w:p>
          <w:p w14:paraId="5AABEF86" w14:textId="364FF099" w:rsidR="001A49FD" w:rsidRDefault="001A49FD" w:rsidP="001A49FD">
            <w:pPr>
              <w:pStyle w:val="BodyText"/>
              <w:numPr>
                <w:ilvl w:val="0"/>
                <w:numId w:val="14"/>
              </w:numPr>
              <w:rPr>
                <w:rFonts w:asciiTheme="minorHAnsi" w:hAnsiTheme="minorHAnsi"/>
              </w:rPr>
            </w:pPr>
            <w:r w:rsidRPr="003D70E6">
              <w:rPr>
                <w:rFonts w:asciiTheme="minorHAnsi" w:hAnsiTheme="minorHAnsi"/>
              </w:rPr>
              <w:t xml:space="preserve">A description </w:t>
            </w:r>
            <w:r w:rsidR="0008152D">
              <w:rPr>
                <w:rFonts w:asciiTheme="minorHAnsi" w:hAnsiTheme="minorHAnsi"/>
              </w:rPr>
              <w:t xml:space="preserve">of </w:t>
            </w:r>
            <w:r w:rsidR="00B2624C">
              <w:rPr>
                <w:rFonts w:asciiTheme="minorHAnsi" w:hAnsiTheme="minorHAnsi"/>
              </w:rPr>
              <w:t>permitted purposes activities</w:t>
            </w:r>
            <w:r w:rsidR="007950CF" w:rsidRPr="003D70E6">
              <w:rPr>
                <w:rFonts w:asciiTheme="minorHAnsi" w:hAnsiTheme="minorHAnsi"/>
              </w:rPr>
              <w:t xml:space="preserve"> which were/will be undertaken</w:t>
            </w:r>
            <w:r w:rsidR="0008152D">
              <w:rPr>
                <w:rFonts w:asciiTheme="minorHAnsi" w:hAnsiTheme="minorHAnsi"/>
              </w:rPr>
              <w:t xml:space="preserve"> and </w:t>
            </w:r>
            <w:r w:rsidR="004A50B0">
              <w:rPr>
                <w:rFonts w:asciiTheme="minorHAnsi" w:hAnsiTheme="minorHAnsi"/>
              </w:rPr>
              <w:t xml:space="preserve">if possible, </w:t>
            </w:r>
            <w:r w:rsidR="0008152D">
              <w:rPr>
                <w:rFonts w:asciiTheme="minorHAnsi" w:hAnsiTheme="minorHAnsi"/>
              </w:rPr>
              <w:t xml:space="preserve">an estimate </w:t>
            </w:r>
            <w:r w:rsidR="002A566C">
              <w:rPr>
                <w:rFonts w:asciiTheme="minorHAnsi" w:hAnsiTheme="minorHAnsi"/>
              </w:rPr>
              <w:t>of the proportion of permit</w:t>
            </w:r>
            <w:r w:rsidR="0008152D">
              <w:rPr>
                <w:rFonts w:asciiTheme="minorHAnsi" w:hAnsiTheme="minorHAnsi"/>
              </w:rPr>
              <w:t>ted</w:t>
            </w:r>
            <w:r w:rsidR="00FC5D86">
              <w:rPr>
                <w:rFonts w:asciiTheme="minorHAnsi" w:hAnsiTheme="minorHAnsi"/>
              </w:rPr>
              <w:t xml:space="preserve"> purpose</w:t>
            </w:r>
            <w:r w:rsidR="002A566C">
              <w:rPr>
                <w:rFonts w:asciiTheme="minorHAnsi" w:hAnsiTheme="minorHAnsi"/>
              </w:rPr>
              <w:t xml:space="preserve"> activities</w:t>
            </w:r>
            <w:r w:rsidR="0008152D">
              <w:rPr>
                <w:rFonts w:asciiTheme="minorHAnsi" w:hAnsiTheme="minorHAnsi"/>
              </w:rPr>
              <w:t xml:space="preserve"> </w:t>
            </w:r>
            <w:r w:rsidR="00EA1A35">
              <w:rPr>
                <w:rFonts w:asciiTheme="minorHAnsi" w:hAnsiTheme="minorHAnsi"/>
              </w:rPr>
              <w:t xml:space="preserve">undertaken </w:t>
            </w:r>
            <w:r w:rsidR="00315AF3">
              <w:rPr>
                <w:rFonts w:asciiTheme="minorHAnsi" w:hAnsiTheme="minorHAnsi"/>
              </w:rPr>
              <w:t xml:space="preserve">relative </w:t>
            </w:r>
            <w:r w:rsidR="00EA1A35">
              <w:rPr>
                <w:rFonts w:asciiTheme="minorHAnsi" w:hAnsiTheme="minorHAnsi"/>
              </w:rPr>
              <w:t xml:space="preserve">to non-permitted purposes activities. </w:t>
            </w:r>
            <w:r w:rsidR="00E53907">
              <w:rPr>
                <w:rFonts w:asciiTheme="minorHAnsi" w:hAnsiTheme="minorHAnsi"/>
              </w:rPr>
              <w:t xml:space="preserve"> </w:t>
            </w:r>
          </w:p>
          <w:p w14:paraId="4343AEDA" w14:textId="410604D1" w:rsidR="008A4D07" w:rsidRDefault="00921154">
            <w:pPr>
              <w:pStyle w:val="BodyText"/>
              <w:numPr>
                <w:ilvl w:val="0"/>
                <w:numId w:val="0"/>
              </w:numPr>
              <w:rPr>
                <w:rFonts w:asciiTheme="minorHAnsi" w:hAnsiTheme="minorHAnsi"/>
              </w:rPr>
            </w:pPr>
            <w:r>
              <w:rPr>
                <w:rFonts w:asciiTheme="minorHAnsi" w:hAnsiTheme="minorHAnsi"/>
                <w:noProof/>
                <w:lang w:eastAsia="en-GB" w:bidi="ar-SA"/>
              </w:rPr>
              <mc:AlternateContent>
                <mc:Choice Requires="wps">
                  <w:drawing>
                    <wp:anchor distT="0" distB="0" distL="114300" distR="114300" simplePos="0" relativeHeight="251667456" behindDoc="0" locked="0" layoutInCell="1" allowOverlap="1" wp14:anchorId="2B0581D0" wp14:editId="78857D39">
                      <wp:simplePos x="0" y="0"/>
                      <wp:positionH relativeFrom="column">
                        <wp:posOffset>161925</wp:posOffset>
                      </wp:positionH>
                      <wp:positionV relativeFrom="paragraph">
                        <wp:posOffset>-2540</wp:posOffset>
                      </wp:positionV>
                      <wp:extent cx="6518275" cy="24479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6518275" cy="24479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ADCD5D5"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550400D4"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(c): evidence which demonstrates that the revenues raised through the practising fee charge will be applied solely to purposes which are permitted purposes</w:t>
                                  </w:r>
                                </w:p>
                                <w:p w14:paraId="15A0A48D" w14:textId="77777777" w:rsidR="00921154" w:rsidRDefault="00921154" w:rsidP="00D86961">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 10 (d): clarity and transparency over the revenue raised through practising fees to be applied for permitted purposes which are regulatory functions </w:t>
                                  </w:r>
                                </w:p>
                                <w:p w14:paraId="4ED57F67"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(e): clarity and transparency over the revenue raised through practising fees to be applied for permitted purposes which are not regulatory functions</w:t>
                                  </w:r>
                                </w:p>
                                <w:p w14:paraId="6F856583"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D.11 (b) where there is a proposed increase in practising fees, the budget should show anticipated income from all sources and its allocation to permitted purposes to the current application and, where available, the next three years</w:t>
                                  </w:r>
                                </w:p>
                                <w:p w14:paraId="6B943D49"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D.11 (f): evidence of how the previous year’s practising fee income was allocated only to permitted purposes</w:t>
                                  </w:r>
                                </w:p>
                                <w:p w14:paraId="31000C89" w14:textId="77777777" w:rsidR="00921154" w:rsidRPr="00AE6AEF" w:rsidRDefault="00921154" w:rsidP="00E675F4">
                                  <w:pPr>
                                    <w:rPr>
                                      <w:color w:val="4354EF"/>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81D0" id="Text Box 6" o:spid="_x0000_s1028" type="#_x0000_t202" style="position:absolute;margin-left:12.75pt;margin-top:-.2pt;width:513.25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" fillcolor="white [3201]" strokecolor="#4472c4 [3208]" strokeweight="1pt">
                      <v:textbox>
                        <w:txbxContent>
                          <w:p w14:paraId="0ADCD5D5"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550400D4"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(c): evidence which demonstrates that the revenues raised through the practising fee charge will be applied solely to purposes which are permitted purposes</w:t>
                            </w:r>
                          </w:p>
                          <w:p w14:paraId="15A0A48D" w14:textId="77777777" w:rsidR="00921154" w:rsidRDefault="00921154" w:rsidP="00D86961">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 10 (d): clarity and transparency over the revenue raised through practising fees to be applied for permitted purposes which are regulatory functions </w:t>
                            </w:r>
                          </w:p>
                          <w:p w14:paraId="4ED57F67"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(e): clarity and transparency over the revenue raised through practising fees to be applied for permitted purposes which are not regulatory functions</w:t>
                            </w:r>
                          </w:p>
                          <w:p w14:paraId="6F856583"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D.11 (b) where there is a proposed increase in practising fees, the budget should show anticipated income from all sources and its allocation to permitted purposes to the current application and, where available, the next three years</w:t>
                            </w:r>
                          </w:p>
                          <w:p w14:paraId="6B943D49" w14:textId="77777777" w:rsidR="00921154" w:rsidRDefault="00921154" w:rsidP="00E675F4">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D.11 (f): evidence of how the previous year’s practising fee income was allocated only to permitted purposes</w:t>
                            </w:r>
                          </w:p>
                          <w:p w14:paraId="31000C89" w14:textId="77777777" w:rsidR="00921154" w:rsidRPr="00AE6AEF" w:rsidRDefault="00921154" w:rsidP="00E675F4">
                            <w:pPr>
                              <w:rPr>
                                <w:color w:val="4354EF"/>
                                <w14:textOutline w14:w="9525" w14:cap="rnd" w14:cmpd="sng" w14:algn="ctr">
                                  <w14:solidFill>
                                    <w14:srgbClr w14:val="0070C0"/>
                                  </w14:solidFill>
                                  <w14:prstDash w14:val="solid"/>
                                  <w14:bevel/>
                                </w14:textOutline>
                              </w:rPr>
                            </w:pPr>
                          </w:p>
                        </w:txbxContent>
                      </v:textbox>
                    </v:shape>
                  </w:pict>
                </mc:Fallback>
              </mc:AlternateContent>
            </w:r>
          </w:p>
          <w:p w14:paraId="56C10781" w14:textId="56D3309D" w:rsidR="008A4D07" w:rsidRDefault="008A4D07" w:rsidP="008A4D07">
            <w:pPr>
              <w:pStyle w:val="BodyText"/>
              <w:numPr>
                <w:ilvl w:val="0"/>
                <w:numId w:val="0"/>
              </w:numPr>
              <w:ind w:left="720" w:hanging="720"/>
              <w:rPr>
                <w:rFonts w:asciiTheme="minorHAnsi" w:hAnsiTheme="minorHAnsi"/>
              </w:rPr>
            </w:pPr>
          </w:p>
          <w:p w14:paraId="14E1C604" w14:textId="2FEC3E98" w:rsidR="008A4D07" w:rsidRDefault="008A4D07" w:rsidP="008A4D07">
            <w:pPr>
              <w:pStyle w:val="BodyText"/>
              <w:numPr>
                <w:ilvl w:val="0"/>
                <w:numId w:val="0"/>
              </w:numPr>
              <w:ind w:left="720" w:hanging="720"/>
              <w:rPr>
                <w:rFonts w:asciiTheme="minorHAnsi" w:hAnsiTheme="minorHAnsi"/>
              </w:rPr>
            </w:pPr>
          </w:p>
          <w:p w14:paraId="365812CA" w14:textId="70F7119D" w:rsidR="008A4D07" w:rsidRPr="003D70E6" w:rsidRDefault="008A4D07" w:rsidP="008A4D07">
            <w:pPr>
              <w:pStyle w:val="BodyText"/>
              <w:numPr>
                <w:ilvl w:val="0"/>
                <w:numId w:val="0"/>
              </w:numPr>
              <w:rPr>
                <w:rFonts w:asciiTheme="minorHAnsi" w:hAnsiTheme="minorHAnsi"/>
              </w:rPr>
            </w:pPr>
          </w:p>
          <w:p w14:paraId="1110D381" w14:textId="0D52FECA" w:rsidR="001A3CA5" w:rsidRDefault="001A3CA5" w:rsidP="001A3CA5">
            <w:pPr>
              <w:pStyle w:val="BodyText"/>
              <w:numPr>
                <w:ilvl w:val="0"/>
                <w:numId w:val="0"/>
              </w:numPr>
              <w:rPr>
                <w:rFonts w:asciiTheme="minorHAnsi" w:hAnsiTheme="minorHAnsi"/>
              </w:rPr>
            </w:pPr>
          </w:p>
          <w:p w14:paraId="4D8EBDF3" w14:textId="77777777" w:rsidR="00E0543B" w:rsidRDefault="00E0543B" w:rsidP="001A3CA5">
            <w:pPr>
              <w:pStyle w:val="BodyText"/>
              <w:numPr>
                <w:ilvl w:val="0"/>
                <w:numId w:val="0"/>
              </w:numPr>
              <w:rPr>
                <w:rFonts w:asciiTheme="minorHAnsi" w:hAnsiTheme="minorHAnsi"/>
              </w:rPr>
            </w:pPr>
          </w:p>
          <w:p w14:paraId="1E090F61" w14:textId="77777777" w:rsidR="00E0543B" w:rsidRDefault="00E0543B" w:rsidP="001A3CA5">
            <w:pPr>
              <w:pStyle w:val="BodyText"/>
              <w:numPr>
                <w:ilvl w:val="0"/>
                <w:numId w:val="0"/>
              </w:numPr>
              <w:rPr>
                <w:rFonts w:asciiTheme="minorHAnsi" w:hAnsiTheme="minorHAnsi"/>
              </w:rPr>
            </w:pPr>
          </w:p>
          <w:p w14:paraId="5C9FAE24" w14:textId="77777777" w:rsidR="00921154" w:rsidRDefault="00921154" w:rsidP="001A3CA5">
            <w:pPr>
              <w:pStyle w:val="BodyText"/>
              <w:numPr>
                <w:ilvl w:val="0"/>
                <w:numId w:val="0"/>
              </w:numPr>
              <w:rPr>
                <w:rFonts w:asciiTheme="minorHAnsi" w:hAnsiTheme="minorHAnsi"/>
              </w:rPr>
            </w:pPr>
          </w:p>
          <w:p w14:paraId="62BDF454" w14:textId="77777777" w:rsidR="00921154" w:rsidRDefault="00921154" w:rsidP="001A3CA5">
            <w:pPr>
              <w:pStyle w:val="BodyText"/>
              <w:numPr>
                <w:ilvl w:val="0"/>
                <w:numId w:val="0"/>
              </w:numPr>
              <w:rPr>
                <w:rFonts w:asciiTheme="minorHAnsi" w:hAnsiTheme="minorHAnsi"/>
              </w:rPr>
            </w:pPr>
          </w:p>
        </w:tc>
      </w:tr>
      <w:tr w:rsidR="00A75839" w14:paraId="562A1C88" w14:textId="77777777" w:rsidTr="00A75839">
        <w:tc>
          <w:tcPr>
            <w:tcW w:w="11199" w:type="dxa"/>
            <w:shd w:val="clear" w:color="auto" w:fill="D9D9D9" w:themeFill="background1" w:themeFillShade="D9"/>
          </w:tcPr>
          <w:p w14:paraId="0B91099A" w14:textId="77777777" w:rsidR="00A75839" w:rsidRPr="000E0654" w:rsidRDefault="000E0654" w:rsidP="00A75839">
            <w:pPr>
              <w:pStyle w:val="BodyText"/>
              <w:numPr>
                <w:ilvl w:val="0"/>
                <w:numId w:val="5"/>
              </w:numPr>
              <w:rPr>
                <w:rFonts w:asciiTheme="minorHAnsi" w:hAnsiTheme="minorHAnsi"/>
                <w:b/>
              </w:rPr>
            </w:pPr>
            <w:r w:rsidRPr="000E0654">
              <w:rPr>
                <w:rFonts w:asciiTheme="minorHAnsi" w:hAnsiTheme="minorHAnsi"/>
                <w:b/>
              </w:rPr>
              <w:lastRenderedPageBreak/>
              <w:t>Transparency of PCF information to fee-paying members</w:t>
            </w:r>
          </w:p>
        </w:tc>
      </w:tr>
      <w:tr w:rsidR="00A75839" w14:paraId="28126DF7" w14:textId="77777777" w:rsidTr="00A75839">
        <w:tc>
          <w:tcPr>
            <w:tcW w:w="11199" w:type="dxa"/>
          </w:tcPr>
          <w:p w14:paraId="2895611A" w14:textId="5EBE62A8" w:rsidR="00A75839" w:rsidRDefault="00EF4593" w:rsidP="00165162">
            <w:pPr>
              <w:pStyle w:val="BodyText"/>
              <w:numPr>
                <w:ilvl w:val="0"/>
                <w:numId w:val="20"/>
              </w:numPr>
              <w:rPr>
                <w:rFonts w:asciiTheme="minorHAnsi" w:hAnsiTheme="minorHAnsi"/>
              </w:rPr>
            </w:pPr>
            <w:r>
              <w:rPr>
                <w:rFonts w:asciiTheme="minorHAnsi" w:hAnsiTheme="minorHAnsi"/>
              </w:rPr>
              <w:t xml:space="preserve">A description or </w:t>
            </w:r>
            <w:r w:rsidR="000E0654">
              <w:rPr>
                <w:rFonts w:asciiTheme="minorHAnsi" w:hAnsiTheme="minorHAnsi"/>
              </w:rPr>
              <w:t>copy of the information that will be provided to fee paying members</w:t>
            </w:r>
            <w:r w:rsidR="00BA5BA8">
              <w:rPr>
                <w:rFonts w:asciiTheme="minorHAnsi" w:hAnsiTheme="minorHAnsi"/>
              </w:rPr>
              <w:t>,</w:t>
            </w:r>
            <w:r w:rsidR="00165162">
              <w:rPr>
                <w:rFonts w:asciiTheme="minorHAnsi" w:hAnsiTheme="minorHAnsi"/>
              </w:rPr>
              <w:t xml:space="preserve"> which is clear and accessible and includes</w:t>
            </w:r>
          </w:p>
          <w:p w14:paraId="05BAF82B" w14:textId="77777777" w:rsidR="000E0654" w:rsidRDefault="000E0654" w:rsidP="00165162">
            <w:pPr>
              <w:pStyle w:val="BodyText"/>
              <w:numPr>
                <w:ilvl w:val="0"/>
                <w:numId w:val="18"/>
              </w:numPr>
              <w:ind w:left="743" w:hanging="284"/>
              <w:rPr>
                <w:rFonts w:asciiTheme="minorHAnsi" w:hAnsiTheme="minorHAnsi"/>
              </w:rPr>
            </w:pPr>
            <w:r>
              <w:rPr>
                <w:rFonts w:asciiTheme="minorHAnsi" w:hAnsiTheme="minorHAnsi"/>
              </w:rPr>
              <w:t>The level of the PCF</w:t>
            </w:r>
          </w:p>
          <w:p w14:paraId="70CF354D" w14:textId="77777777" w:rsidR="000E0654" w:rsidRDefault="007950CF" w:rsidP="00165162">
            <w:pPr>
              <w:pStyle w:val="BodyText"/>
              <w:numPr>
                <w:ilvl w:val="0"/>
                <w:numId w:val="18"/>
              </w:numPr>
              <w:ind w:left="743" w:hanging="284"/>
              <w:rPr>
                <w:rFonts w:asciiTheme="minorHAnsi" w:hAnsiTheme="minorHAnsi"/>
              </w:rPr>
            </w:pPr>
            <w:r>
              <w:rPr>
                <w:rFonts w:asciiTheme="minorHAnsi" w:hAnsiTheme="minorHAnsi"/>
              </w:rPr>
              <w:t xml:space="preserve">How the PCF </w:t>
            </w:r>
            <w:r w:rsidR="000E0654">
              <w:rPr>
                <w:rFonts w:asciiTheme="minorHAnsi" w:hAnsiTheme="minorHAnsi"/>
              </w:rPr>
              <w:t xml:space="preserve"> has been set</w:t>
            </w:r>
          </w:p>
          <w:p w14:paraId="583CC734" w14:textId="77777777" w:rsidR="000E0654" w:rsidRDefault="007950CF" w:rsidP="00165162">
            <w:pPr>
              <w:pStyle w:val="BodyText"/>
              <w:numPr>
                <w:ilvl w:val="0"/>
                <w:numId w:val="18"/>
              </w:numPr>
              <w:ind w:left="743" w:hanging="284"/>
              <w:rPr>
                <w:rFonts w:asciiTheme="minorHAnsi" w:hAnsiTheme="minorHAnsi"/>
              </w:rPr>
            </w:pPr>
            <w:r>
              <w:rPr>
                <w:rFonts w:asciiTheme="minorHAnsi" w:hAnsiTheme="minorHAnsi"/>
              </w:rPr>
              <w:t>A breakdown of how the PCF income will be allocated to non-regulatory/regulatory and shared services</w:t>
            </w:r>
          </w:p>
          <w:p w14:paraId="2EB2F606" w14:textId="77777777" w:rsidR="007950CF" w:rsidRDefault="001A3CA5" w:rsidP="00165162">
            <w:pPr>
              <w:pStyle w:val="BodyText"/>
              <w:numPr>
                <w:ilvl w:val="0"/>
                <w:numId w:val="18"/>
              </w:numPr>
              <w:ind w:left="743" w:hanging="284"/>
              <w:rPr>
                <w:rFonts w:asciiTheme="minorHAnsi" w:hAnsiTheme="minorHAnsi"/>
              </w:rPr>
            </w:pPr>
            <w:r>
              <w:rPr>
                <w:rFonts w:asciiTheme="minorHAnsi" w:hAnsiTheme="minorHAnsi"/>
              </w:rPr>
              <w:t>An explanation of why commercial income arising from PCF funded permitted purposes is to be used for non-permitted purposes.</w:t>
            </w:r>
          </w:p>
          <w:p w14:paraId="4EC8B2CC" w14:textId="77777777" w:rsidR="00921154" w:rsidRDefault="00F24583" w:rsidP="00921154">
            <w:pPr>
              <w:pStyle w:val="BodyText"/>
              <w:numPr>
                <w:ilvl w:val="0"/>
                <w:numId w:val="18"/>
              </w:numPr>
              <w:ind w:left="743" w:hanging="284"/>
              <w:rPr>
                <w:rFonts w:asciiTheme="minorHAnsi" w:hAnsiTheme="minorHAnsi"/>
              </w:rPr>
            </w:pPr>
            <w:r w:rsidRPr="00921154">
              <w:rPr>
                <w:rFonts w:asciiTheme="minorHAnsi" w:hAnsiTheme="minorHAnsi"/>
              </w:rPr>
              <w:t>An accurate presentation and representation of the LSB and Office for Legal Complaints</w:t>
            </w:r>
            <w:r w:rsidR="00D86961" w:rsidRPr="00921154">
              <w:rPr>
                <w:rFonts w:asciiTheme="minorHAnsi" w:hAnsiTheme="minorHAnsi"/>
              </w:rPr>
              <w:t xml:space="preserve"> </w:t>
            </w:r>
            <w:r w:rsidRPr="00921154">
              <w:rPr>
                <w:rFonts w:asciiTheme="minorHAnsi" w:hAnsiTheme="minorHAnsi"/>
              </w:rPr>
              <w:t xml:space="preserve">(OLC) levies so the regulated community is clear about the proportion of PCF attributable to the levies </w:t>
            </w:r>
            <w:r>
              <w:rPr>
                <w:rStyle w:val="FootnoteReference"/>
              </w:rPr>
              <w:footnoteReference w:id="6"/>
            </w:r>
          </w:p>
          <w:p w14:paraId="7B215348" w14:textId="07A86D4F" w:rsidR="00C15688" w:rsidRPr="00921154" w:rsidRDefault="00E0543B" w:rsidP="00921154">
            <w:pPr>
              <w:pStyle w:val="BodyText"/>
              <w:numPr>
                <w:ilvl w:val="0"/>
                <w:numId w:val="0"/>
              </w:numPr>
              <w:rPr>
                <w:rFonts w:asciiTheme="minorHAnsi" w:hAnsiTheme="minorHAnsi"/>
              </w:rPr>
            </w:pPr>
            <w:r>
              <w:rPr>
                <w:rFonts w:asciiTheme="minorHAnsi" w:hAnsiTheme="minorHAnsi"/>
                <w:noProof/>
                <w:lang w:eastAsia="en-GB" w:bidi="ar-SA"/>
              </w:rPr>
              <mc:AlternateContent>
                <mc:Choice Requires="wps">
                  <w:drawing>
                    <wp:anchor distT="0" distB="0" distL="114300" distR="114300" simplePos="0" relativeHeight="251663360" behindDoc="0" locked="0" layoutInCell="1" allowOverlap="1" wp14:anchorId="17567E64" wp14:editId="6C3B7B02">
                      <wp:simplePos x="0" y="0"/>
                      <wp:positionH relativeFrom="column">
                        <wp:posOffset>124460</wp:posOffset>
                      </wp:positionH>
                      <wp:positionV relativeFrom="paragraph">
                        <wp:posOffset>375285</wp:posOffset>
                      </wp:positionV>
                      <wp:extent cx="6518275" cy="2731135"/>
                      <wp:effectExtent l="0" t="0" r="9525" b="12065"/>
                      <wp:wrapNone/>
                      <wp:docPr id="4" name="Text Box 4"/>
                      <wp:cNvGraphicFramePr/>
                      <a:graphic xmlns:a="http://schemas.openxmlformats.org/drawingml/2006/main">
                        <a:graphicData uri="http://schemas.microsoft.com/office/word/2010/wordprocessingShape">
                          <wps:wsp>
                            <wps:cNvSpPr txBox="1"/>
                            <wps:spPr>
                              <a:xfrm>
                                <a:off x="0" y="0"/>
                                <a:ext cx="6518275" cy="273113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F87673D" w14:textId="77777777" w:rsidR="00921154" w:rsidRPr="00FB26F6" w:rsidRDefault="00921154" w:rsidP="00C15688">
                                  <w:pPr>
                                    <w:rPr>
                                      <w:color w:val="002060"/>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68908A6A" w14:textId="77777777" w:rsidR="00921154" w:rsidRDefault="00921154" w:rsidP="008142C5">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 10 (d): clarity and transparency over the revenue raised through practising fees to be applied for permitted purposes which are regulatory functions </w:t>
                                  </w:r>
                                </w:p>
                                <w:p w14:paraId="0C1AFCFF" w14:textId="77777777" w:rsidR="00921154" w:rsidRDefault="00921154" w:rsidP="008142C5">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(e): clarity and transparency over the revenue raised through practising fees to be applied for permitted purposes which are not regulatory functions</w:t>
                                  </w:r>
                                </w:p>
                                <w:p w14:paraId="0268791D" w14:textId="77777777" w:rsidR="00921154" w:rsidRDefault="00921154" w:rsidP="008142C5">
                                  <w:pPr>
                                    <w:rPr>
                                      <w:color w:val="002060"/>
                                      <w14:textOutline w14:w="9525" w14:cap="rnd" w14:cmpd="sng" w14:algn="ctr">
                                        <w14:solidFill>
                                          <w14:srgbClr w14:val="0070C0"/>
                                        </w14:solidFill>
                                        <w14:prstDash w14:val="solid"/>
                                        <w14:bevel/>
                                      </w14:textOutline>
                                    </w:rPr>
                                  </w:pPr>
                                  <w:r>
                                    <w:rPr>
                                      <w:color w:val="002060"/>
                                      <w14:textOutline w14:w="9525" w14:cap="rnd" w14:cmpd="sng" w14:algn="ctr">
                                        <w14:solidFill>
                                          <w14:srgbClr w14:val="0070C0"/>
                                        </w14:solidFill>
                                        <w14:prstDash w14:val="solid"/>
                                        <w14:bevel/>
                                      </w14:textOutline>
                                    </w:rPr>
                                    <w:t>Rule D. 10 (g): evidence that persons paying the practising fees will have explained to them how revenue raised through the charging of practising fees will be applied as between the approved regulator’s performance of regulatory functions and any other functions also carried on by the regulator</w:t>
                                  </w:r>
                                </w:p>
                                <w:p w14:paraId="7CFB0308" w14:textId="77777777" w:rsidR="00921154" w:rsidRDefault="00921154" w:rsidP="008142C5">
                                  <w:pPr>
                                    <w:rPr>
                                      <w:color w:val="002060"/>
                                      <w14:textOutline w14:w="9525" w14:cap="rnd" w14:cmpd="sng" w14:algn="ctr">
                                        <w14:solidFill>
                                          <w14:srgbClr w14:val="0070C0"/>
                                        </w14:solidFill>
                                        <w14:prstDash w14:val="solid"/>
                                        <w14:bevel/>
                                      </w14:textOutline>
                                    </w:rPr>
                                  </w:pPr>
                                  <w:r w:rsidRPr="00FB26F6">
                                    <w:rPr>
                                      <w:color w:val="002060"/>
                                      <w14:textOutline w14:w="9525" w14:cap="rnd" w14:cmpd="sng" w14:algn="ctr">
                                        <w14:solidFill>
                                          <w14:srgbClr w14:val="0070C0"/>
                                        </w14:solidFill>
                                        <w14:prstDash w14:val="solid"/>
                                        <w14:bevel/>
                                      </w14:textOutline>
                                    </w:rPr>
                                    <w:t xml:space="preserve">Rule D. 11 (d):  </w:t>
                                  </w:r>
                                  <w:r>
                                    <w:rPr>
                                      <w:color w:val="002060"/>
                                      <w14:textOutline w14:w="9525" w14:cap="rnd" w14:cmpd="sng" w14:algn="ctr">
                                        <w14:solidFill>
                                          <w14:srgbClr w14:val="0070C0"/>
                                        </w14:solidFill>
                                        <w14:prstDash w14:val="solid"/>
                                        <w14:bevel/>
                                      </w14:textOutline>
                                    </w:rPr>
                                    <w:t>a</w:t>
                                  </w:r>
                                  <w:r w:rsidRPr="00FB26F6">
                                    <w:rPr>
                                      <w:color w:val="002060"/>
                                      <w14:textOutline w14:w="9525" w14:cap="rnd" w14:cmpd="sng" w14:algn="ctr">
                                        <w14:solidFill>
                                          <w14:srgbClr w14:val="0070C0"/>
                                        </w14:solidFill>
                                        <w14:prstDash w14:val="solid"/>
                                        <w14:bevel/>
                                      </w14:textOutline>
                                    </w:rPr>
                                    <w:t xml:space="preserve">n </w:t>
                                  </w:r>
                                  <w:r w:rsidRPr="00FB26F6">
                                    <w:rPr>
                                      <w:color w:val="4354EF"/>
                                      <w14:textOutline w14:w="9525" w14:cap="rnd" w14:cmpd="sng" w14:algn="ctr">
                                        <w14:solidFill>
                                          <w14:srgbClr w14:val="0070C0"/>
                                        </w14:solidFill>
                                        <w14:prstDash w14:val="solid"/>
                                        <w14:bevel/>
                                      </w14:textOutline>
                                    </w:rPr>
                                    <w:t xml:space="preserve">explanation of how the cost to each regulated person is to be broken down as between income to be allocated to the discharge </w:t>
                                  </w:r>
                                  <w:r w:rsidRPr="00FB26F6">
                                    <w:rPr>
                                      <w:color w:val="002060"/>
                                      <w14:textOutline w14:w="9525" w14:cap="rnd" w14:cmpd="sng" w14:algn="ctr">
                                        <w14:solidFill>
                                          <w14:srgbClr w14:val="0070C0"/>
                                        </w14:solidFill>
                                        <w14:prstDash w14:val="solid"/>
                                        <w14:bevel/>
                                      </w14:textOutline>
                                    </w:rPr>
                                    <w:t xml:space="preserve">of regulatory functions and income allocated to other functions </w:t>
                                  </w:r>
                                </w:p>
                                <w:p w14:paraId="44B03E46" w14:textId="77777777" w:rsidR="00921154" w:rsidRDefault="00921154" w:rsidP="008142C5">
                                  <w:pPr>
                                    <w:rPr>
                                      <w:color w:val="4354EF"/>
                                      <w14:textOutline w14:w="9525" w14:cap="rnd" w14:cmpd="sng" w14:algn="ctr">
                                        <w14:solidFill>
                                          <w14:srgbClr w14:val="0070C0"/>
                                        </w14:solidFill>
                                        <w14:prstDash w14:val="solid"/>
                                        <w14:bevel/>
                                      </w14:textOutline>
                                    </w:rPr>
                                  </w:pPr>
                                </w:p>
                                <w:p w14:paraId="3851D148" w14:textId="77777777" w:rsidR="00921154" w:rsidRDefault="00921154" w:rsidP="00C15688">
                                  <w:pPr>
                                    <w:rPr>
                                      <w:color w:val="4354EF"/>
                                      <w14:textOutline w14:w="9525" w14:cap="rnd" w14:cmpd="sng" w14:algn="ctr">
                                        <w14:solidFill>
                                          <w14:srgbClr w14:val="0070C0"/>
                                        </w14:solidFill>
                                        <w14:prstDash w14:val="solid"/>
                                        <w14:bevel/>
                                      </w14:textOutline>
                                    </w:rPr>
                                  </w:pPr>
                                </w:p>
                                <w:p w14:paraId="35D6866E" w14:textId="77777777" w:rsidR="00921154" w:rsidRDefault="00921154" w:rsidP="00C15688">
                                  <w:pPr>
                                    <w:rPr>
                                      <w:color w:val="4354EF"/>
                                      <w14:textOutline w14:w="9525" w14:cap="rnd" w14:cmpd="sng" w14:algn="ctr">
                                        <w14:solidFill>
                                          <w14:srgbClr w14:val="0070C0"/>
                                        </w14:solidFill>
                                        <w14:prstDash w14:val="solid"/>
                                        <w14:bevel/>
                                      </w14:textOutline>
                                    </w:rPr>
                                  </w:pPr>
                                </w:p>
                                <w:p w14:paraId="01F00A8C" w14:textId="77777777" w:rsidR="00921154" w:rsidRDefault="00921154" w:rsidP="00C15688">
                                  <w:pPr>
                                    <w:rPr>
                                      <w:color w:val="4354EF"/>
                                      <w14:textOutline w14:w="9525" w14:cap="rnd" w14:cmpd="sng" w14:algn="ctr">
                                        <w14:solidFill>
                                          <w14:srgbClr w14:val="0070C0"/>
                                        </w14:solidFill>
                                        <w14:prstDash w14:val="solid"/>
                                        <w14:bevel/>
                                      </w14:textOutline>
                                    </w:rPr>
                                  </w:pPr>
                                </w:p>
                                <w:p w14:paraId="70D15581" w14:textId="77777777" w:rsidR="00921154" w:rsidRPr="00AE6AEF" w:rsidRDefault="00921154" w:rsidP="00C15688">
                                  <w:pPr>
                                    <w:rPr>
                                      <w:color w:val="4354EF"/>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67E64" id="Text Box 4" o:spid="_x0000_s1029" type="#_x0000_t202" style="position:absolute;margin-left:9.8pt;margin-top:29.55pt;width:513.25pt;height:2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" fillcolor="white [3201]" strokecolor="#4472c4 [3208]" strokeweight="1pt">
                      <v:textbox>
                        <w:txbxContent>
                          <w:p w14:paraId="5F87673D" w14:textId="77777777" w:rsidR="00921154" w:rsidRPr="00FB26F6" w:rsidRDefault="00921154" w:rsidP="00C15688">
                            <w:pPr>
                              <w:rPr>
                                <w:color w:val="002060"/>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68908A6A" w14:textId="77777777" w:rsidR="00921154" w:rsidRDefault="00921154" w:rsidP="008142C5">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 xml:space="preserve">Rule D. 10 (d): clarity and transparency over the revenue raised through practising fees to be applied for permitted purposes which are regulatory functions </w:t>
                            </w:r>
                          </w:p>
                          <w:p w14:paraId="0C1AFCFF" w14:textId="77777777" w:rsidR="00921154" w:rsidRDefault="00921154" w:rsidP="008142C5">
                            <w:pPr>
                              <w:rPr>
                                <w:color w:val="4354EF"/>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(e): clarity and transparency over the revenue raised through practising fees to be applied for permitted purposes which are not regulatory functions</w:t>
                            </w:r>
                          </w:p>
                          <w:p w14:paraId="0268791D" w14:textId="77777777" w:rsidR="00921154" w:rsidRDefault="00921154" w:rsidP="008142C5">
                            <w:pPr>
                              <w:rPr>
                                <w:color w:val="002060"/>
                                <w14:textOutline w14:w="9525" w14:cap="rnd" w14:cmpd="sng" w14:algn="ctr">
                                  <w14:solidFill>
                                    <w14:srgbClr w14:val="0070C0"/>
                                  </w14:solidFill>
                                  <w14:prstDash w14:val="solid"/>
                                  <w14:bevel/>
                                </w14:textOutline>
                              </w:rPr>
                            </w:pPr>
                            <w:r>
                              <w:rPr>
                                <w:color w:val="002060"/>
                                <w14:textOutline w14:w="9525" w14:cap="rnd" w14:cmpd="sng" w14:algn="ctr">
                                  <w14:solidFill>
                                    <w14:srgbClr w14:val="0070C0"/>
                                  </w14:solidFill>
                                  <w14:prstDash w14:val="solid"/>
                                  <w14:bevel/>
                                </w14:textOutline>
                              </w:rPr>
                              <w:t>Rule D. 10 (g): evidence that persons paying the practising fees will have explained to them how revenue raised through the charging of practising fees will be applied as between the approved regulator’s performance of regulatory functions and any other functions also carried on by the regulator</w:t>
                            </w:r>
                          </w:p>
                          <w:p w14:paraId="7CFB0308" w14:textId="77777777" w:rsidR="00921154" w:rsidRDefault="00921154" w:rsidP="008142C5">
                            <w:pPr>
                              <w:rPr>
                                <w:color w:val="002060"/>
                                <w14:textOutline w14:w="9525" w14:cap="rnd" w14:cmpd="sng" w14:algn="ctr">
                                  <w14:solidFill>
                                    <w14:srgbClr w14:val="0070C0"/>
                                  </w14:solidFill>
                                  <w14:prstDash w14:val="solid"/>
                                  <w14:bevel/>
                                </w14:textOutline>
                              </w:rPr>
                            </w:pPr>
                            <w:r w:rsidRPr="00FB26F6">
                              <w:rPr>
                                <w:color w:val="002060"/>
                                <w14:textOutline w14:w="9525" w14:cap="rnd" w14:cmpd="sng" w14:algn="ctr">
                                  <w14:solidFill>
                                    <w14:srgbClr w14:val="0070C0"/>
                                  </w14:solidFill>
                                  <w14:prstDash w14:val="solid"/>
                                  <w14:bevel/>
                                </w14:textOutline>
                              </w:rPr>
                              <w:t xml:space="preserve">Rule D. 11 (d):  </w:t>
                            </w:r>
                            <w:r>
                              <w:rPr>
                                <w:color w:val="002060"/>
                                <w14:textOutline w14:w="9525" w14:cap="rnd" w14:cmpd="sng" w14:algn="ctr">
                                  <w14:solidFill>
                                    <w14:srgbClr w14:val="0070C0"/>
                                  </w14:solidFill>
                                  <w14:prstDash w14:val="solid"/>
                                  <w14:bevel/>
                                </w14:textOutline>
                              </w:rPr>
                              <w:t>a</w:t>
                            </w:r>
                            <w:r w:rsidRPr="00FB26F6">
                              <w:rPr>
                                <w:color w:val="002060"/>
                                <w14:textOutline w14:w="9525" w14:cap="rnd" w14:cmpd="sng" w14:algn="ctr">
                                  <w14:solidFill>
                                    <w14:srgbClr w14:val="0070C0"/>
                                  </w14:solidFill>
                                  <w14:prstDash w14:val="solid"/>
                                  <w14:bevel/>
                                </w14:textOutline>
                              </w:rPr>
                              <w:t xml:space="preserve">n </w:t>
                            </w:r>
                            <w:r w:rsidRPr="00FB26F6">
                              <w:rPr>
                                <w:color w:val="4354EF"/>
                                <w14:textOutline w14:w="9525" w14:cap="rnd" w14:cmpd="sng" w14:algn="ctr">
                                  <w14:solidFill>
                                    <w14:srgbClr w14:val="0070C0"/>
                                  </w14:solidFill>
                                  <w14:prstDash w14:val="solid"/>
                                  <w14:bevel/>
                                </w14:textOutline>
                              </w:rPr>
                              <w:t xml:space="preserve">explanation of how the cost to each regulated person is to be broken down as between income to be allocated to the discharge </w:t>
                            </w:r>
                            <w:r w:rsidRPr="00FB26F6">
                              <w:rPr>
                                <w:color w:val="002060"/>
                                <w14:textOutline w14:w="9525" w14:cap="rnd" w14:cmpd="sng" w14:algn="ctr">
                                  <w14:solidFill>
                                    <w14:srgbClr w14:val="0070C0"/>
                                  </w14:solidFill>
                                  <w14:prstDash w14:val="solid"/>
                                  <w14:bevel/>
                                </w14:textOutline>
                              </w:rPr>
                              <w:t xml:space="preserve">of regulatory functions and income allocated to other functions </w:t>
                            </w:r>
                          </w:p>
                          <w:p w14:paraId="44B03E46" w14:textId="77777777" w:rsidR="00921154" w:rsidRDefault="00921154" w:rsidP="008142C5">
                            <w:pPr>
                              <w:rPr>
                                <w:color w:val="4354EF"/>
                                <w14:textOutline w14:w="9525" w14:cap="rnd" w14:cmpd="sng" w14:algn="ctr">
                                  <w14:solidFill>
                                    <w14:srgbClr w14:val="0070C0"/>
                                  </w14:solidFill>
                                  <w14:prstDash w14:val="solid"/>
                                  <w14:bevel/>
                                </w14:textOutline>
                              </w:rPr>
                            </w:pPr>
                          </w:p>
                          <w:p w14:paraId="3851D148" w14:textId="77777777" w:rsidR="00921154" w:rsidRDefault="00921154" w:rsidP="00C15688">
                            <w:pPr>
                              <w:rPr>
                                <w:color w:val="4354EF"/>
                                <w14:textOutline w14:w="9525" w14:cap="rnd" w14:cmpd="sng" w14:algn="ctr">
                                  <w14:solidFill>
                                    <w14:srgbClr w14:val="0070C0"/>
                                  </w14:solidFill>
                                  <w14:prstDash w14:val="solid"/>
                                  <w14:bevel/>
                                </w14:textOutline>
                              </w:rPr>
                            </w:pPr>
                          </w:p>
                          <w:p w14:paraId="35D6866E" w14:textId="77777777" w:rsidR="00921154" w:rsidRDefault="00921154" w:rsidP="00C15688">
                            <w:pPr>
                              <w:rPr>
                                <w:color w:val="4354EF"/>
                                <w14:textOutline w14:w="9525" w14:cap="rnd" w14:cmpd="sng" w14:algn="ctr">
                                  <w14:solidFill>
                                    <w14:srgbClr w14:val="0070C0"/>
                                  </w14:solidFill>
                                  <w14:prstDash w14:val="solid"/>
                                  <w14:bevel/>
                                </w14:textOutline>
                              </w:rPr>
                            </w:pPr>
                          </w:p>
                          <w:p w14:paraId="01F00A8C" w14:textId="77777777" w:rsidR="00921154" w:rsidRDefault="00921154" w:rsidP="00C15688">
                            <w:pPr>
                              <w:rPr>
                                <w:color w:val="4354EF"/>
                                <w14:textOutline w14:w="9525" w14:cap="rnd" w14:cmpd="sng" w14:algn="ctr">
                                  <w14:solidFill>
                                    <w14:srgbClr w14:val="0070C0"/>
                                  </w14:solidFill>
                                  <w14:prstDash w14:val="solid"/>
                                  <w14:bevel/>
                                </w14:textOutline>
                              </w:rPr>
                            </w:pPr>
                          </w:p>
                          <w:p w14:paraId="70D15581" w14:textId="77777777" w:rsidR="00921154" w:rsidRPr="00AE6AEF" w:rsidRDefault="00921154" w:rsidP="00C15688">
                            <w:pPr>
                              <w:rPr>
                                <w:color w:val="4354EF"/>
                                <w14:textOutline w14:w="9525" w14:cap="rnd" w14:cmpd="sng" w14:algn="ctr">
                                  <w14:solidFill>
                                    <w14:srgbClr w14:val="0070C0"/>
                                  </w14:solidFill>
                                  <w14:prstDash w14:val="solid"/>
                                  <w14:bevel/>
                                </w14:textOutline>
                              </w:rPr>
                            </w:pPr>
                          </w:p>
                        </w:txbxContent>
                      </v:textbox>
                    </v:shape>
                  </w:pict>
                </mc:Fallback>
              </mc:AlternateContent>
            </w:r>
          </w:p>
          <w:p w14:paraId="4884EE5C" w14:textId="77777777" w:rsidR="00C15688" w:rsidRDefault="00C15688" w:rsidP="00C15688">
            <w:pPr>
              <w:pStyle w:val="BodyText"/>
              <w:numPr>
                <w:ilvl w:val="0"/>
                <w:numId w:val="0"/>
              </w:numPr>
              <w:ind w:left="720" w:hanging="720"/>
              <w:rPr>
                <w:rFonts w:asciiTheme="minorHAnsi" w:hAnsiTheme="minorHAnsi"/>
              </w:rPr>
            </w:pPr>
          </w:p>
          <w:p w14:paraId="2EB92D58" w14:textId="77777777" w:rsidR="00C15688" w:rsidRPr="00165162" w:rsidRDefault="00C15688" w:rsidP="00C15688">
            <w:pPr>
              <w:pStyle w:val="BodyText"/>
              <w:numPr>
                <w:ilvl w:val="0"/>
                <w:numId w:val="0"/>
              </w:numPr>
              <w:ind w:left="720" w:hanging="720"/>
              <w:rPr>
                <w:rFonts w:asciiTheme="minorHAnsi" w:hAnsiTheme="minorHAnsi"/>
              </w:rPr>
            </w:pPr>
          </w:p>
          <w:p w14:paraId="110D4E5B" w14:textId="77777777" w:rsidR="008142C5" w:rsidRDefault="008142C5" w:rsidP="008142C5">
            <w:pPr>
              <w:pStyle w:val="BodyText"/>
              <w:numPr>
                <w:ilvl w:val="0"/>
                <w:numId w:val="0"/>
              </w:numPr>
              <w:rPr>
                <w:rFonts w:asciiTheme="minorHAnsi" w:hAnsiTheme="minorHAnsi"/>
              </w:rPr>
            </w:pPr>
          </w:p>
          <w:p w14:paraId="4683B42D" w14:textId="77777777" w:rsidR="008142C5" w:rsidRDefault="008142C5" w:rsidP="00480343">
            <w:pPr>
              <w:pStyle w:val="BodyText"/>
              <w:numPr>
                <w:ilvl w:val="0"/>
                <w:numId w:val="0"/>
              </w:numPr>
              <w:ind w:left="318" w:hanging="318"/>
              <w:rPr>
                <w:rFonts w:asciiTheme="minorHAnsi" w:hAnsiTheme="minorHAnsi"/>
              </w:rPr>
            </w:pPr>
          </w:p>
          <w:p w14:paraId="45A40840" w14:textId="77777777" w:rsidR="00E0543B" w:rsidRDefault="00E0543B" w:rsidP="00480343">
            <w:pPr>
              <w:pStyle w:val="BodyText"/>
              <w:numPr>
                <w:ilvl w:val="0"/>
                <w:numId w:val="0"/>
              </w:numPr>
              <w:ind w:left="318" w:hanging="318"/>
              <w:rPr>
                <w:rFonts w:asciiTheme="minorHAnsi" w:hAnsiTheme="minorHAnsi"/>
              </w:rPr>
            </w:pPr>
          </w:p>
          <w:p w14:paraId="40DD5A4A" w14:textId="77777777" w:rsidR="00E0543B" w:rsidRDefault="00E0543B" w:rsidP="00480343">
            <w:pPr>
              <w:pStyle w:val="BodyText"/>
              <w:numPr>
                <w:ilvl w:val="0"/>
                <w:numId w:val="0"/>
              </w:numPr>
              <w:ind w:left="318" w:hanging="318"/>
              <w:rPr>
                <w:rFonts w:asciiTheme="minorHAnsi" w:hAnsiTheme="minorHAnsi"/>
              </w:rPr>
            </w:pPr>
          </w:p>
          <w:p w14:paraId="06DD96F6" w14:textId="77777777" w:rsidR="00E0543B" w:rsidRDefault="00E0543B" w:rsidP="00480343">
            <w:pPr>
              <w:pStyle w:val="BodyText"/>
              <w:numPr>
                <w:ilvl w:val="0"/>
                <w:numId w:val="0"/>
              </w:numPr>
              <w:ind w:left="318" w:hanging="318"/>
              <w:rPr>
                <w:rFonts w:asciiTheme="minorHAnsi" w:hAnsiTheme="minorHAnsi"/>
              </w:rPr>
            </w:pPr>
          </w:p>
          <w:p w14:paraId="7DF5192E" w14:textId="77777777" w:rsidR="00E0543B" w:rsidRDefault="00E0543B" w:rsidP="00480343">
            <w:pPr>
              <w:pStyle w:val="BodyText"/>
              <w:numPr>
                <w:ilvl w:val="0"/>
                <w:numId w:val="0"/>
              </w:numPr>
              <w:ind w:left="318" w:hanging="318"/>
              <w:rPr>
                <w:rFonts w:asciiTheme="minorHAnsi" w:hAnsiTheme="minorHAnsi"/>
              </w:rPr>
            </w:pPr>
          </w:p>
          <w:p w14:paraId="3ED3F44B" w14:textId="77777777" w:rsidR="00E0543B" w:rsidRDefault="00E0543B" w:rsidP="00480343">
            <w:pPr>
              <w:pStyle w:val="BodyText"/>
              <w:numPr>
                <w:ilvl w:val="0"/>
                <w:numId w:val="0"/>
              </w:numPr>
              <w:ind w:left="318" w:hanging="318"/>
              <w:rPr>
                <w:rFonts w:asciiTheme="minorHAnsi" w:hAnsiTheme="minorHAnsi"/>
              </w:rPr>
            </w:pPr>
          </w:p>
          <w:p w14:paraId="644FC161" w14:textId="77777777" w:rsidR="00E0543B" w:rsidRDefault="00E0543B" w:rsidP="00480343">
            <w:pPr>
              <w:pStyle w:val="BodyText"/>
              <w:numPr>
                <w:ilvl w:val="0"/>
                <w:numId w:val="0"/>
              </w:numPr>
              <w:ind w:left="318" w:hanging="318"/>
              <w:rPr>
                <w:rFonts w:asciiTheme="minorHAnsi" w:hAnsiTheme="minorHAnsi"/>
              </w:rPr>
            </w:pPr>
          </w:p>
          <w:p w14:paraId="29CB6E8D" w14:textId="77777777" w:rsidR="00921154" w:rsidRDefault="00921154" w:rsidP="00480343">
            <w:pPr>
              <w:pStyle w:val="BodyText"/>
              <w:numPr>
                <w:ilvl w:val="0"/>
                <w:numId w:val="0"/>
              </w:numPr>
              <w:ind w:left="318" w:hanging="318"/>
              <w:rPr>
                <w:rFonts w:asciiTheme="minorHAnsi" w:hAnsiTheme="minorHAnsi"/>
              </w:rPr>
            </w:pPr>
          </w:p>
          <w:p w14:paraId="62BA81CD" w14:textId="77777777" w:rsidR="00E0543B" w:rsidRDefault="00E0543B" w:rsidP="00E0543B">
            <w:pPr>
              <w:pStyle w:val="BodyText"/>
              <w:numPr>
                <w:ilvl w:val="0"/>
                <w:numId w:val="0"/>
              </w:numPr>
              <w:rPr>
                <w:rFonts w:asciiTheme="minorHAnsi" w:hAnsiTheme="minorHAnsi"/>
              </w:rPr>
            </w:pPr>
          </w:p>
        </w:tc>
      </w:tr>
      <w:tr w:rsidR="00A75839" w14:paraId="443890A8" w14:textId="77777777" w:rsidTr="00A75839">
        <w:tc>
          <w:tcPr>
            <w:tcW w:w="11199" w:type="dxa"/>
            <w:shd w:val="clear" w:color="auto" w:fill="D9D9D9" w:themeFill="background1" w:themeFillShade="D9"/>
          </w:tcPr>
          <w:p w14:paraId="6611640F" w14:textId="6BEB9255" w:rsidR="00A75839" w:rsidRDefault="004D4112" w:rsidP="008302CB">
            <w:pPr>
              <w:pStyle w:val="BodyText"/>
              <w:numPr>
                <w:ilvl w:val="0"/>
                <w:numId w:val="5"/>
              </w:numPr>
              <w:rPr>
                <w:rFonts w:asciiTheme="minorHAnsi" w:hAnsiTheme="minorHAnsi"/>
              </w:rPr>
            </w:pPr>
            <w:r>
              <w:rPr>
                <w:rFonts w:asciiTheme="minorHAnsi" w:hAnsiTheme="minorHAnsi"/>
                <w:b/>
              </w:rPr>
              <w:lastRenderedPageBreak/>
              <w:t>Regulatory and Equality I</w:t>
            </w:r>
            <w:r w:rsidR="00A75839" w:rsidRPr="00B24379">
              <w:rPr>
                <w:rFonts w:asciiTheme="minorHAnsi" w:hAnsiTheme="minorHAnsi"/>
                <w:b/>
              </w:rPr>
              <w:t>mpact assessment</w:t>
            </w:r>
            <w:r w:rsidR="008302CB">
              <w:rPr>
                <w:rFonts w:asciiTheme="minorHAnsi" w:hAnsiTheme="minorHAnsi"/>
                <w:b/>
              </w:rPr>
              <w:t xml:space="preserve"> </w:t>
            </w:r>
            <w:r w:rsidR="00165162">
              <w:rPr>
                <w:rFonts w:asciiTheme="minorHAnsi" w:hAnsiTheme="minorHAnsi"/>
                <w:b/>
              </w:rPr>
              <w:t xml:space="preserve"> </w:t>
            </w:r>
          </w:p>
        </w:tc>
      </w:tr>
      <w:tr w:rsidR="00A75839" w14:paraId="3A828C9F" w14:textId="77777777" w:rsidTr="00A75839">
        <w:tc>
          <w:tcPr>
            <w:tcW w:w="11199" w:type="dxa"/>
          </w:tcPr>
          <w:p w14:paraId="49124483" w14:textId="3FE909A2" w:rsidR="00A75839" w:rsidRDefault="00E0543B" w:rsidP="00165162">
            <w:pPr>
              <w:pStyle w:val="BodyText"/>
              <w:numPr>
                <w:ilvl w:val="0"/>
                <w:numId w:val="19"/>
              </w:numPr>
              <w:rPr>
                <w:rFonts w:asciiTheme="minorHAnsi" w:hAnsiTheme="minorHAnsi"/>
              </w:rPr>
            </w:pPr>
            <w:r>
              <w:rPr>
                <w:rFonts w:asciiTheme="minorHAnsi" w:hAnsiTheme="minorHAnsi"/>
              </w:rPr>
              <w:t xml:space="preserve">A description </w:t>
            </w:r>
            <w:r w:rsidR="00D67134">
              <w:rPr>
                <w:rFonts w:asciiTheme="minorHAnsi" w:hAnsiTheme="minorHAnsi"/>
              </w:rPr>
              <w:t xml:space="preserve">of how the proposed PCF </w:t>
            </w:r>
            <w:r>
              <w:rPr>
                <w:rFonts w:asciiTheme="minorHAnsi" w:hAnsiTheme="minorHAnsi"/>
              </w:rPr>
              <w:t>may potentially impact</w:t>
            </w:r>
            <w:r w:rsidR="00E675F4">
              <w:rPr>
                <w:rFonts w:asciiTheme="minorHAnsi" w:hAnsiTheme="minorHAnsi"/>
              </w:rPr>
              <w:t xml:space="preserve"> on various groups</w:t>
            </w:r>
            <w:r w:rsidR="00B5595E">
              <w:rPr>
                <w:rFonts w:asciiTheme="minorHAnsi" w:hAnsiTheme="minorHAnsi"/>
              </w:rPr>
              <w:t>, in particular those with protected characteristics,</w:t>
            </w:r>
            <w:r w:rsidR="00E675F4">
              <w:rPr>
                <w:rFonts w:asciiTheme="minorHAnsi" w:hAnsiTheme="minorHAnsi"/>
              </w:rPr>
              <w:t xml:space="preserve"> within the approved regulator’s membership</w:t>
            </w:r>
            <w:r w:rsidR="008302CB">
              <w:rPr>
                <w:rFonts w:asciiTheme="minorHAnsi" w:hAnsiTheme="minorHAnsi"/>
              </w:rPr>
              <w:t xml:space="preserve"> (whether </w:t>
            </w:r>
            <w:r w:rsidR="00E675F4">
              <w:rPr>
                <w:rFonts w:asciiTheme="minorHAnsi" w:hAnsiTheme="minorHAnsi"/>
              </w:rPr>
              <w:t xml:space="preserve">the </w:t>
            </w:r>
            <w:r w:rsidR="00D67134">
              <w:rPr>
                <w:rFonts w:asciiTheme="minorHAnsi" w:hAnsiTheme="minorHAnsi"/>
              </w:rPr>
              <w:t>proposal is for the PCF</w:t>
            </w:r>
            <w:r w:rsidR="00E675F4">
              <w:rPr>
                <w:rFonts w:asciiTheme="minorHAnsi" w:hAnsiTheme="minorHAnsi"/>
              </w:rPr>
              <w:t xml:space="preserve"> to be static, increased or decreased</w:t>
            </w:r>
            <w:r w:rsidR="00B2624C">
              <w:rPr>
                <w:rFonts w:asciiTheme="minorHAnsi" w:hAnsiTheme="minorHAnsi"/>
              </w:rPr>
              <w:t>)</w:t>
            </w:r>
            <w:r w:rsidR="00B5595E">
              <w:rPr>
                <w:rFonts w:asciiTheme="minorHAnsi" w:hAnsiTheme="minorHAnsi"/>
              </w:rPr>
              <w:t>.</w:t>
            </w:r>
          </w:p>
          <w:p w14:paraId="5CDB3A5E" w14:textId="7D9C2504" w:rsidR="008302CB" w:rsidRDefault="00D67134" w:rsidP="00165162">
            <w:pPr>
              <w:pStyle w:val="BodyText"/>
              <w:numPr>
                <w:ilvl w:val="0"/>
                <w:numId w:val="19"/>
              </w:numPr>
              <w:rPr>
                <w:rFonts w:asciiTheme="minorHAnsi" w:hAnsiTheme="minorHAnsi"/>
              </w:rPr>
            </w:pPr>
            <w:r>
              <w:rPr>
                <w:rFonts w:asciiTheme="minorHAnsi" w:hAnsiTheme="minorHAnsi"/>
              </w:rPr>
              <w:t xml:space="preserve">A description of how the </w:t>
            </w:r>
            <w:r w:rsidR="00BB6AE9">
              <w:rPr>
                <w:rFonts w:asciiTheme="minorHAnsi" w:hAnsiTheme="minorHAnsi"/>
              </w:rPr>
              <w:t>PCF has</w:t>
            </w:r>
            <w:r w:rsidR="008302CB">
              <w:rPr>
                <w:rFonts w:asciiTheme="minorHAnsi" w:hAnsiTheme="minorHAnsi"/>
              </w:rPr>
              <w:t xml:space="preserve"> been developed in light of the Regulatory objectives set out in the Act and Better Regulation principles.</w:t>
            </w:r>
          </w:p>
          <w:p w14:paraId="66E337A2" w14:textId="2809CFC9" w:rsidR="00260662" w:rsidRDefault="00260662" w:rsidP="00165162">
            <w:pPr>
              <w:pStyle w:val="BodyText"/>
              <w:numPr>
                <w:ilvl w:val="0"/>
                <w:numId w:val="19"/>
              </w:numPr>
              <w:rPr>
                <w:rFonts w:asciiTheme="minorHAnsi" w:hAnsiTheme="minorHAnsi"/>
              </w:rPr>
            </w:pPr>
            <w:r>
              <w:rPr>
                <w:rFonts w:asciiTheme="minorHAnsi" w:hAnsiTheme="minorHAnsi"/>
              </w:rPr>
              <w:t xml:space="preserve">A Regulatory and/or Equality Impact assessment </w:t>
            </w:r>
            <w:r w:rsidR="00224B32">
              <w:rPr>
                <w:rFonts w:asciiTheme="minorHAnsi" w:hAnsiTheme="minorHAnsi"/>
              </w:rPr>
              <w:t>(optional)</w:t>
            </w:r>
          </w:p>
          <w:p w14:paraId="615B0DC0" w14:textId="77777777" w:rsidR="00E0543B" w:rsidRDefault="00E0543B" w:rsidP="00E0543B">
            <w:pPr>
              <w:pStyle w:val="BodyText"/>
              <w:numPr>
                <w:ilvl w:val="0"/>
                <w:numId w:val="0"/>
              </w:numPr>
              <w:ind w:left="720" w:hanging="720"/>
              <w:rPr>
                <w:rFonts w:asciiTheme="minorHAnsi" w:hAnsiTheme="minorHAnsi"/>
              </w:rPr>
            </w:pPr>
            <w:r>
              <w:rPr>
                <w:rFonts w:asciiTheme="minorHAnsi" w:hAnsiTheme="minorHAnsi"/>
                <w:noProof/>
                <w:lang w:eastAsia="en-GB" w:bidi="ar-SA"/>
              </w:rPr>
              <mc:AlternateContent>
                <mc:Choice Requires="wps">
                  <w:drawing>
                    <wp:anchor distT="0" distB="0" distL="114300" distR="114300" simplePos="0" relativeHeight="251665408" behindDoc="0" locked="0" layoutInCell="1" allowOverlap="1" wp14:anchorId="40EAF885" wp14:editId="114CE10F">
                      <wp:simplePos x="0" y="0"/>
                      <wp:positionH relativeFrom="column">
                        <wp:posOffset>-4363</wp:posOffset>
                      </wp:positionH>
                      <wp:positionV relativeFrom="paragraph">
                        <wp:posOffset>1352</wp:posOffset>
                      </wp:positionV>
                      <wp:extent cx="6518275" cy="908501"/>
                      <wp:effectExtent l="0" t="0" r="9525" b="19050"/>
                      <wp:wrapNone/>
                      <wp:docPr id="5" name="Text Box 5"/>
                      <wp:cNvGraphicFramePr/>
                      <a:graphic xmlns:a="http://schemas.openxmlformats.org/drawingml/2006/main">
                        <a:graphicData uri="http://schemas.microsoft.com/office/word/2010/wordprocessingShape">
                          <wps:wsp>
                            <wps:cNvSpPr txBox="1"/>
                            <wps:spPr>
                              <a:xfrm>
                                <a:off x="0" y="0"/>
                                <a:ext cx="6518275" cy="908501"/>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9A0BFDB" w14:textId="77777777" w:rsidR="00921154" w:rsidRPr="00FB26F6" w:rsidRDefault="00921154" w:rsidP="00E0543B">
                                  <w:pPr>
                                    <w:rPr>
                                      <w:color w:val="002060"/>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36ED1392" w14:textId="77777777" w:rsidR="00921154" w:rsidRDefault="00921154" w:rsidP="00E0543B">
                                  <w:pPr>
                                    <w:rPr>
                                      <w:color w:val="002060"/>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(g): a regulatory and diversity impact assessment</w:t>
                                  </w:r>
                                </w:p>
                                <w:p w14:paraId="401487CE" w14:textId="77777777" w:rsidR="00921154" w:rsidRDefault="00921154" w:rsidP="00E0543B">
                                  <w:pPr>
                                    <w:rPr>
                                      <w:color w:val="4354EF"/>
                                      <w14:textOutline w14:w="9525" w14:cap="rnd" w14:cmpd="sng" w14:algn="ctr">
                                        <w14:solidFill>
                                          <w14:srgbClr w14:val="0070C0"/>
                                        </w14:solidFill>
                                        <w14:prstDash w14:val="solid"/>
                                        <w14:bevel/>
                                      </w14:textOutline>
                                    </w:rPr>
                                  </w:pPr>
                                </w:p>
                                <w:p w14:paraId="6EAAB36A" w14:textId="77777777" w:rsidR="00921154" w:rsidRDefault="00921154" w:rsidP="00E0543B">
                                  <w:pPr>
                                    <w:rPr>
                                      <w:color w:val="4354EF"/>
                                      <w14:textOutline w14:w="9525" w14:cap="rnd" w14:cmpd="sng" w14:algn="ctr">
                                        <w14:solidFill>
                                          <w14:srgbClr w14:val="0070C0"/>
                                        </w14:solidFill>
                                        <w14:prstDash w14:val="solid"/>
                                        <w14:bevel/>
                                      </w14:textOutline>
                                    </w:rPr>
                                  </w:pPr>
                                </w:p>
                                <w:p w14:paraId="25B1D196" w14:textId="77777777" w:rsidR="00921154" w:rsidRDefault="00921154" w:rsidP="00E0543B">
                                  <w:pPr>
                                    <w:rPr>
                                      <w:color w:val="4354EF"/>
                                      <w14:textOutline w14:w="9525" w14:cap="rnd" w14:cmpd="sng" w14:algn="ctr">
                                        <w14:solidFill>
                                          <w14:srgbClr w14:val="0070C0"/>
                                        </w14:solidFill>
                                        <w14:prstDash w14:val="solid"/>
                                        <w14:bevel/>
                                      </w14:textOutline>
                                    </w:rPr>
                                  </w:pPr>
                                </w:p>
                                <w:p w14:paraId="31C22682" w14:textId="77777777" w:rsidR="00921154" w:rsidRDefault="00921154" w:rsidP="00E0543B">
                                  <w:pPr>
                                    <w:rPr>
                                      <w:color w:val="4354EF"/>
                                      <w14:textOutline w14:w="9525" w14:cap="rnd" w14:cmpd="sng" w14:algn="ctr">
                                        <w14:solidFill>
                                          <w14:srgbClr w14:val="0070C0"/>
                                        </w14:solidFill>
                                        <w14:prstDash w14:val="solid"/>
                                        <w14:bevel/>
                                      </w14:textOutline>
                                    </w:rPr>
                                  </w:pPr>
                                </w:p>
                                <w:p w14:paraId="004C19DB" w14:textId="77777777" w:rsidR="00921154" w:rsidRPr="00AE6AEF" w:rsidRDefault="00921154" w:rsidP="00E0543B">
                                  <w:pPr>
                                    <w:rPr>
                                      <w:color w:val="4354EF"/>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AF885" id="Text Box 5" o:spid="_x0000_s1030" type="#_x0000_t202" style="position:absolute;left:0;text-align:left;margin-left:-.35pt;margin-top:.1pt;width:513.25pt;height:7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" fillcolor="white [3201]" strokecolor="#4472c4 [3208]" strokeweight="1pt">
                      <v:textbox>
                        <w:txbxContent>
                          <w:p w14:paraId="49A0BFDB" w14:textId="77777777" w:rsidR="00921154" w:rsidRPr="00FB26F6" w:rsidRDefault="00921154" w:rsidP="00E0543B">
                            <w:pPr>
                              <w:rPr>
                                <w:color w:val="002060"/>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Relevant Rules</w:t>
                            </w:r>
                          </w:p>
                          <w:p w14:paraId="36ED1392" w14:textId="77777777" w:rsidR="00921154" w:rsidRDefault="00921154" w:rsidP="00E0543B">
                            <w:pPr>
                              <w:rPr>
                                <w:color w:val="002060"/>
                                <w14:textOutline w14:w="9525" w14:cap="rnd" w14:cmpd="sng" w14:algn="ctr">
                                  <w14:solidFill>
                                    <w14:srgbClr w14:val="0070C0"/>
                                  </w14:solidFill>
                                  <w14:prstDash w14:val="solid"/>
                                  <w14:bevel/>
                                </w14:textOutline>
                              </w:rPr>
                            </w:pPr>
                            <w:r>
                              <w:rPr>
                                <w:color w:val="4354EF"/>
                                <w14:textOutline w14:w="9525" w14:cap="rnd" w14:cmpd="sng" w14:algn="ctr">
                                  <w14:solidFill>
                                    <w14:srgbClr w14:val="0070C0"/>
                                  </w14:solidFill>
                                  <w14:prstDash w14:val="solid"/>
                                  <w14:bevel/>
                                </w14:textOutline>
                              </w:rPr>
                              <w:t>Rule D. 10 (g): a regulatory and diversity impact assessment</w:t>
                            </w:r>
                          </w:p>
                          <w:p w14:paraId="401487CE" w14:textId="77777777" w:rsidR="00921154" w:rsidRDefault="00921154" w:rsidP="00E0543B">
                            <w:pPr>
                              <w:rPr>
                                <w:color w:val="4354EF"/>
                                <w14:textOutline w14:w="9525" w14:cap="rnd" w14:cmpd="sng" w14:algn="ctr">
                                  <w14:solidFill>
                                    <w14:srgbClr w14:val="0070C0"/>
                                  </w14:solidFill>
                                  <w14:prstDash w14:val="solid"/>
                                  <w14:bevel/>
                                </w14:textOutline>
                              </w:rPr>
                            </w:pPr>
                          </w:p>
                          <w:p w14:paraId="6EAAB36A" w14:textId="77777777" w:rsidR="00921154" w:rsidRDefault="00921154" w:rsidP="00E0543B">
                            <w:pPr>
                              <w:rPr>
                                <w:color w:val="4354EF"/>
                                <w14:textOutline w14:w="9525" w14:cap="rnd" w14:cmpd="sng" w14:algn="ctr">
                                  <w14:solidFill>
                                    <w14:srgbClr w14:val="0070C0"/>
                                  </w14:solidFill>
                                  <w14:prstDash w14:val="solid"/>
                                  <w14:bevel/>
                                </w14:textOutline>
                              </w:rPr>
                            </w:pPr>
                          </w:p>
                          <w:p w14:paraId="25B1D196" w14:textId="77777777" w:rsidR="00921154" w:rsidRDefault="00921154" w:rsidP="00E0543B">
                            <w:pPr>
                              <w:rPr>
                                <w:color w:val="4354EF"/>
                                <w14:textOutline w14:w="9525" w14:cap="rnd" w14:cmpd="sng" w14:algn="ctr">
                                  <w14:solidFill>
                                    <w14:srgbClr w14:val="0070C0"/>
                                  </w14:solidFill>
                                  <w14:prstDash w14:val="solid"/>
                                  <w14:bevel/>
                                </w14:textOutline>
                              </w:rPr>
                            </w:pPr>
                          </w:p>
                          <w:p w14:paraId="31C22682" w14:textId="77777777" w:rsidR="00921154" w:rsidRDefault="00921154" w:rsidP="00E0543B">
                            <w:pPr>
                              <w:rPr>
                                <w:color w:val="4354EF"/>
                                <w14:textOutline w14:w="9525" w14:cap="rnd" w14:cmpd="sng" w14:algn="ctr">
                                  <w14:solidFill>
                                    <w14:srgbClr w14:val="0070C0"/>
                                  </w14:solidFill>
                                  <w14:prstDash w14:val="solid"/>
                                  <w14:bevel/>
                                </w14:textOutline>
                              </w:rPr>
                            </w:pPr>
                          </w:p>
                          <w:p w14:paraId="004C19DB" w14:textId="77777777" w:rsidR="00921154" w:rsidRPr="00AE6AEF" w:rsidRDefault="00921154" w:rsidP="00E0543B">
                            <w:pPr>
                              <w:rPr>
                                <w:color w:val="4354EF"/>
                                <w14:textOutline w14:w="9525" w14:cap="rnd" w14:cmpd="sng" w14:algn="ctr">
                                  <w14:solidFill>
                                    <w14:srgbClr w14:val="0070C0"/>
                                  </w14:solidFill>
                                  <w14:prstDash w14:val="solid"/>
                                  <w14:bevel/>
                                </w14:textOutline>
                              </w:rPr>
                            </w:pPr>
                          </w:p>
                        </w:txbxContent>
                      </v:textbox>
                    </v:shape>
                  </w:pict>
                </mc:Fallback>
              </mc:AlternateContent>
            </w:r>
          </w:p>
          <w:p w14:paraId="7D2B6446" w14:textId="77777777" w:rsidR="00E0543B" w:rsidRDefault="00E0543B" w:rsidP="00E0543B">
            <w:pPr>
              <w:pStyle w:val="BodyText"/>
              <w:numPr>
                <w:ilvl w:val="0"/>
                <w:numId w:val="0"/>
              </w:numPr>
              <w:ind w:left="720" w:hanging="720"/>
              <w:rPr>
                <w:rFonts w:asciiTheme="minorHAnsi" w:hAnsiTheme="minorHAnsi"/>
              </w:rPr>
            </w:pPr>
          </w:p>
          <w:p w14:paraId="04B2D65B" w14:textId="77777777" w:rsidR="00E0543B" w:rsidRDefault="00E0543B" w:rsidP="00E0543B">
            <w:pPr>
              <w:pStyle w:val="BodyText"/>
              <w:numPr>
                <w:ilvl w:val="0"/>
                <w:numId w:val="0"/>
              </w:numPr>
              <w:ind w:left="720" w:hanging="720"/>
              <w:rPr>
                <w:rFonts w:asciiTheme="minorHAnsi" w:hAnsiTheme="minorHAnsi"/>
              </w:rPr>
            </w:pPr>
          </w:p>
          <w:p w14:paraId="5BD61D86" w14:textId="77777777" w:rsidR="00E0543B" w:rsidRDefault="00E0543B" w:rsidP="00E0543B">
            <w:pPr>
              <w:pStyle w:val="BodyText"/>
              <w:numPr>
                <w:ilvl w:val="0"/>
                <w:numId w:val="0"/>
              </w:numPr>
              <w:ind w:left="720" w:hanging="720"/>
              <w:rPr>
                <w:rFonts w:asciiTheme="minorHAnsi" w:hAnsiTheme="minorHAnsi"/>
              </w:rPr>
            </w:pPr>
          </w:p>
          <w:p w14:paraId="40378DEC" w14:textId="77777777" w:rsidR="00E0543B" w:rsidRDefault="00E0543B" w:rsidP="00E0543B">
            <w:pPr>
              <w:pStyle w:val="BodyText"/>
              <w:numPr>
                <w:ilvl w:val="0"/>
                <w:numId w:val="0"/>
              </w:numPr>
              <w:ind w:left="720" w:hanging="720"/>
              <w:rPr>
                <w:rFonts w:asciiTheme="minorHAnsi" w:hAnsiTheme="minorHAnsi"/>
              </w:rPr>
            </w:pPr>
          </w:p>
          <w:p w14:paraId="2E4C7452" w14:textId="77777777" w:rsidR="00E0543B" w:rsidRDefault="00E0543B" w:rsidP="00E0543B">
            <w:pPr>
              <w:pStyle w:val="BodyText"/>
              <w:numPr>
                <w:ilvl w:val="0"/>
                <w:numId w:val="0"/>
              </w:numPr>
              <w:ind w:left="720" w:hanging="720"/>
              <w:rPr>
                <w:rFonts w:asciiTheme="minorHAnsi" w:hAnsiTheme="minorHAnsi"/>
              </w:rPr>
            </w:pPr>
          </w:p>
          <w:p w14:paraId="4617429C" w14:textId="77777777" w:rsidR="00E0543B" w:rsidRDefault="00E0543B" w:rsidP="00E0543B">
            <w:pPr>
              <w:pStyle w:val="BodyText"/>
              <w:numPr>
                <w:ilvl w:val="0"/>
                <w:numId w:val="0"/>
              </w:numPr>
              <w:ind w:left="720" w:hanging="720"/>
              <w:rPr>
                <w:rFonts w:asciiTheme="minorHAnsi" w:hAnsiTheme="minorHAnsi"/>
              </w:rPr>
            </w:pPr>
          </w:p>
          <w:p w14:paraId="7C5CD7BC" w14:textId="77777777" w:rsidR="00921154" w:rsidRDefault="00921154" w:rsidP="00E0543B">
            <w:pPr>
              <w:pStyle w:val="BodyText"/>
              <w:numPr>
                <w:ilvl w:val="0"/>
                <w:numId w:val="0"/>
              </w:numPr>
              <w:ind w:left="720" w:hanging="720"/>
              <w:rPr>
                <w:rFonts w:asciiTheme="minorHAnsi" w:hAnsiTheme="minorHAnsi"/>
              </w:rPr>
            </w:pPr>
          </w:p>
          <w:p w14:paraId="056325D4" w14:textId="77777777" w:rsidR="00E0543B" w:rsidRDefault="00E0543B" w:rsidP="00E0543B">
            <w:pPr>
              <w:pStyle w:val="BodyText"/>
              <w:numPr>
                <w:ilvl w:val="0"/>
                <w:numId w:val="0"/>
              </w:numPr>
              <w:ind w:left="720" w:hanging="720"/>
              <w:rPr>
                <w:rFonts w:asciiTheme="minorHAnsi" w:hAnsiTheme="minorHAnsi"/>
              </w:rPr>
            </w:pPr>
          </w:p>
          <w:p w14:paraId="47AEF09C" w14:textId="77777777" w:rsidR="00E675F4" w:rsidRDefault="00E675F4" w:rsidP="00E0543B">
            <w:pPr>
              <w:pStyle w:val="BodyText"/>
              <w:numPr>
                <w:ilvl w:val="0"/>
                <w:numId w:val="0"/>
              </w:numPr>
              <w:ind w:left="720" w:hanging="720"/>
              <w:rPr>
                <w:rFonts w:asciiTheme="minorHAnsi" w:hAnsiTheme="minorHAnsi"/>
              </w:rPr>
            </w:pPr>
          </w:p>
          <w:p w14:paraId="1D516C29" w14:textId="77777777" w:rsidR="00E675F4" w:rsidRDefault="00E675F4" w:rsidP="00E0543B">
            <w:pPr>
              <w:pStyle w:val="BodyText"/>
              <w:numPr>
                <w:ilvl w:val="0"/>
                <w:numId w:val="0"/>
              </w:numPr>
              <w:ind w:left="720" w:hanging="720"/>
              <w:rPr>
                <w:rFonts w:asciiTheme="minorHAnsi" w:hAnsiTheme="minorHAnsi"/>
              </w:rPr>
            </w:pPr>
          </w:p>
          <w:p w14:paraId="57AF326A" w14:textId="77777777" w:rsidR="00E0543B" w:rsidRDefault="00E0543B" w:rsidP="00E0543B">
            <w:pPr>
              <w:pStyle w:val="BodyText"/>
              <w:numPr>
                <w:ilvl w:val="0"/>
                <w:numId w:val="0"/>
              </w:numPr>
              <w:ind w:left="720" w:hanging="720"/>
              <w:rPr>
                <w:rFonts w:asciiTheme="minorHAnsi" w:hAnsiTheme="minorHAnsi"/>
              </w:rPr>
            </w:pPr>
          </w:p>
          <w:p w14:paraId="10CD3033" w14:textId="77777777" w:rsidR="00E0543B" w:rsidRDefault="00E0543B" w:rsidP="00E0543B">
            <w:pPr>
              <w:pStyle w:val="BodyText"/>
              <w:numPr>
                <w:ilvl w:val="0"/>
                <w:numId w:val="0"/>
              </w:numPr>
              <w:ind w:left="720" w:hanging="720"/>
              <w:rPr>
                <w:rFonts w:asciiTheme="minorHAnsi" w:hAnsiTheme="minorHAnsi"/>
              </w:rPr>
            </w:pPr>
          </w:p>
          <w:p w14:paraId="2ABED365" w14:textId="77777777" w:rsidR="00921154" w:rsidRDefault="00921154" w:rsidP="00E0543B">
            <w:pPr>
              <w:pStyle w:val="BodyText"/>
              <w:numPr>
                <w:ilvl w:val="0"/>
                <w:numId w:val="0"/>
              </w:numPr>
              <w:ind w:left="720" w:hanging="720"/>
              <w:rPr>
                <w:rFonts w:asciiTheme="minorHAnsi" w:hAnsiTheme="minorHAnsi"/>
              </w:rPr>
            </w:pPr>
          </w:p>
          <w:p w14:paraId="75C08C60" w14:textId="77777777" w:rsidR="00921154" w:rsidRDefault="00921154" w:rsidP="00E0543B">
            <w:pPr>
              <w:pStyle w:val="BodyText"/>
              <w:numPr>
                <w:ilvl w:val="0"/>
                <w:numId w:val="0"/>
              </w:numPr>
              <w:ind w:left="720" w:hanging="720"/>
              <w:rPr>
                <w:rFonts w:asciiTheme="minorHAnsi" w:hAnsiTheme="minorHAnsi"/>
              </w:rPr>
            </w:pPr>
          </w:p>
          <w:p w14:paraId="76D63209" w14:textId="77777777" w:rsidR="00921154" w:rsidRDefault="00921154" w:rsidP="00E0543B">
            <w:pPr>
              <w:pStyle w:val="BodyText"/>
              <w:numPr>
                <w:ilvl w:val="0"/>
                <w:numId w:val="0"/>
              </w:numPr>
              <w:ind w:left="720" w:hanging="720"/>
              <w:rPr>
                <w:rFonts w:asciiTheme="minorHAnsi" w:hAnsiTheme="minorHAnsi"/>
              </w:rPr>
            </w:pPr>
          </w:p>
          <w:p w14:paraId="772DFE52" w14:textId="77777777" w:rsidR="00921154" w:rsidRDefault="00921154" w:rsidP="00E0543B">
            <w:pPr>
              <w:pStyle w:val="BodyText"/>
              <w:numPr>
                <w:ilvl w:val="0"/>
                <w:numId w:val="0"/>
              </w:numPr>
              <w:ind w:left="720" w:hanging="720"/>
              <w:rPr>
                <w:rFonts w:asciiTheme="minorHAnsi" w:hAnsiTheme="minorHAnsi"/>
              </w:rPr>
            </w:pPr>
          </w:p>
        </w:tc>
      </w:tr>
      <w:tr w:rsidR="00315C57" w14:paraId="2CCD43F7" w14:textId="77777777" w:rsidTr="002B16BE">
        <w:tc>
          <w:tcPr>
            <w:tcW w:w="11199" w:type="dxa"/>
            <w:shd w:val="clear" w:color="auto" w:fill="D5DCE4" w:themeFill="text2" w:themeFillTint="33"/>
          </w:tcPr>
          <w:p w14:paraId="3D597AEA" w14:textId="77777777" w:rsidR="00315C57" w:rsidRPr="002B5297" w:rsidRDefault="002B5297" w:rsidP="002B5297">
            <w:pPr>
              <w:pStyle w:val="BodyText"/>
              <w:numPr>
                <w:ilvl w:val="0"/>
                <w:numId w:val="5"/>
              </w:numPr>
              <w:rPr>
                <w:rFonts w:asciiTheme="minorHAnsi" w:hAnsiTheme="minorHAnsi"/>
                <w:b/>
              </w:rPr>
            </w:pPr>
            <w:r>
              <w:rPr>
                <w:rFonts w:asciiTheme="minorHAnsi" w:hAnsiTheme="minorHAnsi"/>
                <w:b/>
              </w:rPr>
              <w:lastRenderedPageBreak/>
              <w:t xml:space="preserve"> </w:t>
            </w:r>
            <w:r w:rsidR="00315C57" w:rsidRPr="002B5297">
              <w:rPr>
                <w:rFonts w:asciiTheme="minorHAnsi" w:hAnsiTheme="minorHAnsi"/>
                <w:b/>
              </w:rPr>
              <w:t>Other supporting information</w:t>
            </w:r>
          </w:p>
        </w:tc>
      </w:tr>
      <w:tr w:rsidR="002B5297" w14:paraId="627D7A02" w14:textId="77777777" w:rsidTr="002B5297">
        <w:tc>
          <w:tcPr>
            <w:tcW w:w="11199" w:type="dxa"/>
            <w:shd w:val="clear" w:color="auto" w:fill="FFFFFF" w:themeFill="background1"/>
          </w:tcPr>
          <w:p w14:paraId="59B53637" w14:textId="77777777" w:rsidR="002B5297" w:rsidRDefault="002B5297" w:rsidP="002B5297">
            <w:pPr>
              <w:pStyle w:val="BodyText"/>
              <w:numPr>
                <w:ilvl w:val="0"/>
                <w:numId w:val="0"/>
              </w:numPr>
              <w:ind w:left="1080"/>
              <w:rPr>
                <w:rFonts w:asciiTheme="minorHAnsi" w:hAnsiTheme="minorHAnsi"/>
                <w:b/>
              </w:rPr>
            </w:pPr>
          </w:p>
          <w:p w14:paraId="17EDD3DE" w14:textId="77777777" w:rsidR="002B5297" w:rsidRDefault="002B5297" w:rsidP="002B5297">
            <w:pPr>
              <w:pStyle w:val="BodyText"/>
              <w:numPr>
                <w:ilvl w:val="0"/>
                <w:numId w:val="0"/>
              </w:numPr>
              <w:ind w:left="1080"/>
              <w:rPr>
                <w:rFonts w:asciiTheme="minorHAnsi" w:hAnsiTheme="minorHAnsi"/>
                <w:b/>
              </w:rPr>
            </w:pPr>
          </w:p>
          <w:p w14:paraId="19E5B71B" w14:textId="77777777" w:rsidR="002B5297" w:rsidRDefault="002B5297" w:rsidP="002B5297">
            <w:pPr>
              <w:pStyle w:val="BodyText"/>
              <w:numPr>
                <w:ilvl w:val="0"/>
                <w:numId w:val="0"/>
              </w:numPr>
              <w:ind w:left="1080"/>
              <w:rPr>
                <w:rFonts w:asciiTheme="minorHAnsi" w:hAnsiTheme="minorHAnsi"/>
                <w:b/>
              </w:rPr>
            </w:pPr>
          </w:p>
          <w:p w14:paraId="1CAE36EA" w14:textId="77777777" w:rsidR="002B5297" w:rsidRDefault="002B5297" w:rsidP="002B5297">
            <w:pPr>
              <w:pStyle w:val="BodyText"/>
              <w:numPr>
                <w:ilvl w:val="0"/>
                <w:numId w:val="0"/>
              </w:numPr>
              <w:ind w:left="1080"/>
              <w:rPr>
                <w:rFonts w:asciiTheme="minorHAnsi" w:hAnsiTheme="minorHAnsi"/>
                <w:b/>
              </w:rPr>
            </w:pPr>
          </w:p>
        </w:tc>
      </w:tr>
      <w:tr w:rsidR="00315C57" w14:paraId="64DE4DE6" w14:textId="77777777" w:rsidTr="002B16BE">
        <w:tc>
          <w:tcPr>
            <w:tcW w:w="11199" w:type="dxa"/>
            <w:shd w:val="clear" w:color="auto" w:fill="D5DCE4" w:themeFill="text2" w:themeFillTint="33"/>
          </w:tcPr>
          <w:p w14:paraId="02BE981D" w14:textId="77777777" w:rsidR="00315C57" w:rsidRPr="002B5297" w:rsidRDefault="002B5297" w:rsidP="002B5297">
            <w:pPr>
              <w:pStyle w:val="BodyText"/>
              <w:numPr>
                <w:ilvl w:val="0"/>
                <w:numId w:val="5"/>
              </w:numPr>
              <w:rPr>
                <w:rFonts w:asciiTheme="minorHAnsi" w:hAnsiTheme="minorHAnsi"/>
                <w:b/>
              </w:rPr>
            </w:pPr>
            <w:r>
              <w:rPr>
                <w:rFonts w:asciiTheme="minorHAnsi" w:hAnsiTheme="minorHAnsi"/>
                <w:b/>
              </w:rPr>
              <w:t xml:space="preserve">Contact details </w:t>
            </w:r>
          </w:p>
        </w:tc>
      </w:tr>
      <w:tr w:rsidR="002B5297" w14:paraId="4A19DACD" w14:textId="77777777" w:rsidTr="00A75839">
        <w:tc>
          <w:tcPr>
            <w:tcW w:w="11199" w:type="dxa"/>
          </w:tcPr>
          <w:p w14:paraId="3F5F67B2" w14:textId="77777777" w:rsidR="002B5297" w:rsidRDefault="002B5297" w:rsidP="002B5297">
            <w:pPr>
              <w:pStyle w:val="BodyText"/>
              <w:numPr>
                <w:ilvl w:val="0"/>
                <w:numId w:val="0"/>
              </w:numPr>
              <w:ind w:left="1080"/>
              <w:rPr>
                <w:rFonts w:asciiTheme="minorHAnsi" w:hAnsiTheme="minorHAnsi"/>
                <w:b/>
              </w:rPr>
            </w:pPr>
          </w:p>
        </w:tc>
      </w:tr>
    </w:tbl>
    <w:p w14:paraId="5CEBBAB8" w14:textId="77777777" w:rsidR="0088067A" w:rsidRDefault="0088067A" w:rsidP="00245E96">
      <w:pPr>
        <w:pStyle w:val="BodyText"/>
        <w:numPr>
          <w:ilvl w:val="0"/>
          <w:numId w:val="0"/>
        </w:numPr>
        <w:ind w:left="720"/>
        <w:rPr>
          <w:rFonts w:asciiTheme="minorHAnsi" w:hAnsiTheme="minorHAnsi"/>
        </w:rPr>
      </w:pPr>
    </w:p>
    <w:sectPr w:rsidR="008806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2E7FA" w14:textId="77777777" w:rsidR="00921154" w:rsidRDefault="00921154" w:rsidP="00B23BD1">
      <w:pPr>
        <w:spacing w:after="0" w:line="240" w:lineRule="auto"/>
      </w:pPr>
      <w:r>
        <w:separator/>
      </w:r>
    </w:p>
  </w:endnote>
  <w:endnote w:type="continuationSeparator" w:id="0">
    <w:p w14:paraId="7A3F4D99" w14:textId="77777777" w:rsidR="00921154" w:rsidRDefault="00921154" w:rsidP="00B2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08084"/>
      <w:docPartObj>
        <w:docPartGallery w:val="Page Numbers (Bottom of Page)"/>
        <w:docPartUnique/>
      </w:docPartObj>
    </w:sdtPr>
    <w:sdtEndPr>
      <w:rPr>
        <w:noProof/>
      </w:rPr>
    </w:sdtEndPr>
    <w:sdtContent>
      <w:p w14:paraId="7AB0EAD4" w14:textId="77777777" w:rsidR="00921154" w:rsidRDefault="00921154">
        <w:pPr>
          <w:pStyle w:val="Footer"/>
          <w:jc w:val="center"/>
        </w:pPr>
        <w:r>
          <w:fldChar w:fldCharType="begin"/>
        </w:r>
        <w:r>
          <w:instrText xml:space="preserve"> PAGE   \* MERGEFORMAT </w:instrText>
        </w:r>
        <w:r>
          <w:fldChar w:fldCharType="separate"/>
        </w:r>
        <w:r w:rsidR="004A1395">
          <w:rPr>
            <w:noProof/>
          </w:rPr>
          <w:t>5</w:t>
        </w:r>
        <w:r>
          <w:rPr>
            <w:noProof/>
          </w:rPr>
          <w:fldChar w:fldCharType="end"/>
        </w:r>
      </w:p>
    </w:sdtContent>
  </w:sdt>
  <w:p w14:paraId="702DB17C" w14:textId="77777777" w:rsidR="00921154" w:rsidRDefault="0092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D35A" w14:textId="77777777" w:rsidR="00921154" w:rsidRDefault="00921154" w:rsidP="00B23BD1">
      <w:pPr>
        <w:spacing w:after="0" w:line="240" w:lineRule="auto"/>
      </w:pPr>
      <w:r>
        <w:separator/>
      </w:r>
    </w:p>
  </w:footnote>
  <w:footnote w:type="continuationSeparator" w:id="0">
    <w:p w14:paraId="4AD14EF8" w14:textId="77777777" w:rsidR="00921154" w:rsidRDefault="00921154" w:rsidP="00B23BD1">
      <w:pPr>
        <w:spacing w:after="0" w:line="240" w:lineRule="auto"/>
      </w:pPr>
      <w:r>
        <w:continuationSeparator/>
      </w:r>
    </w:p>
  </w:footnote>
  <w:footnote w:id="1">
    <w:p w14:paraId="4FB44EA7" w14:textId="77777777" w:rsidR="00921154" w:rsidRPr="009D5285" w:rsidRDefault="00921154">
      <w:pPr>
        <w:pStyle w:val="FootnoteText"/>
        <w:rPr>
          <w:szCs w:val="18"/>
        </w:rPr>
      </w:pPr>
      <w:r w:rsidRPr="009D5285">
        <w:rPr>
          <w:rStyle w:val="FootnoteReference"/>
          <w:sz w:val="18"/>
          <w:szCs w:val="18"/>
        </w:rPr>
        <w:footnoteRef/>
      </w:r>
      <w:r w:rsidRPr="009D5285">
        <w:rPr>
          <w:szCs w:val="18"/>
        </w:rPr>
        <w:t xml:space="preserve"> Section 51(3) of the Act requires the LSB to make rules specifying the permitted purposes.</w:t>
      </w:r>
    </w:p>
  </w:footnote>
  <w:footnote w:id="2">
    <w:p w14:paraId="7C2FE08D" w14:textId="77777777" w:rsidR="00921154" w:rsidRDefault="00921154">
      <w:pPr>
        <w:pStyle w:val="FootnoteText"/>
      </w:pPr>
      <w:r>
        <w:rPr>
          <w:rStyle w:val="FootnoteReference"/>
        </w:rPr>
        <w:footnoteRef/>
      </w:r>
      <w:r>
        <w:t xml:space="preserve"> Paragraph 18 of the Guidance.</w:t>
      </w:r>
    </w:p>
  </w:footnote>
  <w:footnote w:id="3">
    <w:p w14:paraId="53C66A32" w14:textId="77777777" w:rsidR="00921154" w:rsidRDefault="00921154">
      <w:pPr>
        <w:pStyle w:val="FootnoteText"/>
      </w:pPr>
      <w:r>
        <w:rPr>
          <w:rStyle w:val="FootnoteReference"/>
        </w:rPr>
        <w:footnoteRef/>
      </w:r>
      <w:r>
        <w:t xml:space="preserve"> ARs should consult if they are proposing a fee increase. If the fee has been static or has fallen, AR should still consult at least every three years. </w:t>
      </w:r>
    </w:p>
  </w:footnote>
  <w:footnote w:id="4">
    <w:p w14:paraId="7DE4EC6F" w14:textId="77777777" w:rsidR="00921154" w:rsidRDefault="00921154">
      <w:pPr>
        <w:pStyle w:val="FootnoteText"/>
      </w:pPr>
      <w:r>
        <w:rPr>
          <w:rStyle w:val="FootnoteReference"/>
        </w:rPr>
        <w:footnoteRef/>
      </w:r>
      <w:r>
        <w:t xml:space="preserve"> See Section C of the Rules.</w:t>
      </w:r>
    </w:p>
  </w:footnote>
  <w:footnote w:id="5">
    <w:p w14:paraId="6E1C35CF" w14:textId="08FF40D1" w:rsidR="00921154" w:rsidRDefault="00921154">
      <w:pPr>
        <w:pStyle w:val="FootnoteText"/>
      </w:pPr>
      <w:r>
        <w:rPr>
          <w:rStyle w:val="FootnoteReference"/>
        </w:rPr>
        <w:footnoteRef/>
      </w:r>
      <w:r>
        <w:t xml:space="preserve"> Referred to as derivative income in paragraph 7 of the Guidance.</w:t>
      </w:r>
    </w:p>
  </w:footnote>
  <w:footnote w:id="6">
    <w:p w14:paraId="524F4A38" w14:textId="77777777" w:rsidR="00921154" w:rsidRDefault="00921154">
      <w:pPr>
        <w:pStyle w:val="FootnoteText"/>
      </w:pPr>
      <w:r>
        <w:rPr>
          <w:rStyle w:val="FootnoteReference"/>
        </w:rPr>
        <w:footnoteRef/>
      </w:r>
      <w:r>
        <w:t xml:space="preserve"> As set out in paragraph 14 of the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8E9"/>
    <w:multiLevelType w:val="hybridMultilevel"/>
    <w:tmpl w:val="DEC6E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25877"/>
    <w:multiLevelType w:val="hybridMultilevel"/>
    <w:tmpl w:val="F31C237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1578483B"/>
    <w:multiLevelType w:val="hybridMultilevel"/>
    <w:tmpl w:val="75222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FA2133"/>
    <w:multiLevelType w:val="hybridMultilevel"/>
    <w:tmpl w:val="8E3AB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E87519"/>
    <w:multiLevelType w:val="hybridMultilevel"/>
    <w:tmpl w:val="17CA030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15:restartNumberingAfterBreak="0">
    <w:nsid w:val="1CEB193F"/>
    <w:multiLevelType w:val="hybridMultilevel"/>
    <w:tmpl w:val="41DC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12C5"/>
    <w:multiLevelType w:val="hybridMultilevel"/>
    <w:tmpl w:val="4A760A10"/>
    <w:lvl w:ilvl="0" w:tplc="B85C2B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32BC4"/>
    <w:multiLevelType w:val="hybridMultilevel"/>
    <w:tmpl w:val="5DCA868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25795C1B"/>
    <w:multiLevelType w:val="hybridMultilevel"/>
    <w:tmpl w:val="DF88EB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A6282"/>
    <w:multiLevelType w:val="hybridMultilevel"/>
    <w:tmpl w:val="CDEC85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D7D8A"/>
    <w:multiLevelType w:val="hybridMultilevel"/>
    <w:tmpl w:val="E840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13473"/>
    <w:multiLevelType w:val="hybridMultilevel"/>
    <w:tmpl w:val="9BCC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F6D58"/>
    <w:multiLevelType w:val="hybridMultilevel"/>
    <w:tmpl w:val="00448608"/>
    <w:lvl w:ilvl="0" w:tplc="B3C6456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01F04"/>
    <w:multiLevelType w:val="hybridMultilevel"/>
    <w:tmpl w:val="4BBE4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C589D"/>
    <w:multiLevelType w:val="hybridMultilevel"/>
    <w:tmpl w:val="91F038A8"/>
    <w:lvl w:ilvl="0" w:tplc="7D3C015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7A5DD7"/>
    <w:multiLevelType w:val="hybridMultilevel"/>
    <w:tmpl w:val="FEDC027C"/>
    <w:lvl w:ilvl="0" w:tplc="A57061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775C5"/>
    <w:multiLevelType w:val="hybridMultilevel"/>
    <w:tmpl w:val="1590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83508"/>
    <w:multiLevelType w:val="hybridMultilevel"/>
    <w:tmpl w:val="791EE9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E1686F"/>
    <w:multiLevelType w:val="hybridMultilevel"/>
    <w:tmpl w:val="570E1BE4"/>
    <w:lvl w:ilvl="0" w:tplc="95A683C4">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7CA2392F"/>
    <w:multiLevelType w:val="multilevel"/>
    <w:tmpl w:val="D4F66A40"/>
    <w:lvl w:ilvl="0">
      <w:start w:val="1"/>
      <w:numFmt w:val="decimal"/>
      <w:pStyle w:val="BodyText"/>
      <w:lvlText w:val="%1."/>
      <w:lvlJc w:val="left"/>
      <w:pPr>
        <w:ind w:left="720" w:hanging="720"/>
      </w:pPr>
      <w:rPr>
        <w:rFonts w:asciiTheme="minorHAnsi" w:hAnsiTheme="minorHAnsi" w:hint="default"/>
        <w:b w:val="0"/>
        <w:i w:val="0"/>
        <w:sz w:val="24"/>
      </w:rPr>
    </w:lvl>
    <w:lvl w:ilvl="1">
      <w:start w:val="1"/>
      <w:numFmt w:val="lowerLetter"/>
      <w:lvlText w:val="(%2)"/>
      <w:lvlJc w:val="left"/>
      <w:pPr>
        <w:ind w:left="1152" w:hanging="432"/>
      </w:pPr>
      <w:rPr>
        <w:rFonts w:ascii="Arial" w:hAnsi="Arial" w:hint="default"/>
        <w:b w:val="0"/>
        <w:i/>
        <w:sz w:val="24"/>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9"/>
  </w:num>
  <w:num w:numId="3">
    <w:abstractNumId w:val="6"/>
  </w:num>
  <w:num w:numId="4">
    <w:abstractNumId w:val="14"/>
  </w:num>
  <w:num w:numId="5">
    <w:abstractNumId w:val="12"/>
  </w:num>
  <w:num w:numId="6">
    <w:abstractNumId w:val="17"/>
  </w:num>
  <w:num w:numId="7">
    <w:abstractNumId w:val="1"/>
  </w:num>
  <w:num w:numId="8">
    <w:abstractNumId w:val="4"/>
  </w:num>
  <w:num w:numId="9">
    <w:abstractNumId w:val="16"/>
  </w:num>
  <w:num w:numId="10">
    <w:abstractNumId w:val="11"/>
  </w:num>
  <w:num w:numId="11">
    <w:abstractNumId w:val="5"/>
  </w:num>
  <w:num w:numId="12">
    <w:abstractNumId w:val="10"/>
  </w:num>
  <w:num w:numId="13">
    <w:abstractNumId w:val="0"/>
  </w:num>
  <w:num w:numId="14">
    <w:abstractNumId w:val="8"/>
  </w:num>
  <w:num w:numId="15">
    <w:abstractNumId w:val="2"/>
  </w:num>
  <w:num w:numId="16">
    <w:abstractNumId w:val="18"/>
  </w:num>
  <w:num w:numId="17">
    <w:abstractNumId w:val="3"/>
  </w:num>
  <w:num w:numId="18">
    <w:abstractNumId w:val="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F"/>
    <w:rsid w:val="00012557"/>
    <w:rsid w:val="000128EC"/>
    <w:rsid w:val="000238BE"/>
    <w:rsid w:val="00024E0B"/>
    <w:rsid w:val="00044C5D"/>
    <w:rsid w:val="00064D57"/>
    <w:rsid w:val="0008152D"/>
    <w:rsid w:val="000A2985"/>
    <w:rsid w:val="000A6C6A"/>
    <w:rsid w:val="000C5DF9"/>
    <w:rsid w:val="000C6506"/>
    <w:rsid w:val="000E0654"/>
    <w:rsid w:val="000E4A23"/>
    <w:rsid w:val="000F07D9"/>
    <w:rsid w:val="00116C0A"/>
    <w:rsid w:val="00130D0F"/>
    <w:rsid w:val="0014061B"/>
    <w:rsid w:val="00141974"/>
    <w:rsid w:val="00143C8D"/>
    <w:rsid w:val="001564A1"/>
    <w:rsid w:val="00165162"/>
    <w:rsid w:val="00180012"/>
    <w:rsid w:val="00183047"/>
    <w:rsid w:val="0019121A"/>
    <w:rsid w:val="00194373"/>
    <w:rsid w:val="001A1922"/>
    <w:rsid w:val="001A3334"/>
    <w:rsid w:val="001A3CA5"/>
    <w:rsid w:val="001A49FD"/>
    <w:rsid w:val="001B50FE"/>
    <w:rsid w:val="001D62BD"/>
    <w:rsid w:val="001E4F19"/>
    <w:rsid w:val="001F2A97"/>
    <w:rsid w:val="001F4B02"/>
    <w:rsid w:val="00224B32"/>
    <w:rsid w:val="00244162"/>
    <w:rsid w:val="00245E96"/>
    <w:rsid w:val="002552AA"/>
    <w:rsid w:val="00260662"/>
    <w:rsid w:val="00271ADA"/>
    <w:rsid w:val="00272740"/>
    <w:rsid w:val="00272CC5"/>
    <w:rsid w:val="002874E0"/>
    <w:rsid w:val="002A566C"/>
    <w:rsid w:val="002B16BE"/>
    <w:rsid w:val="002B3661"/>
    <w:rsid w:val="002B5297"/>
    <w:rsid w:val="002B75E7"/>
    <w:rsid w:val="002C5955"/>
    <w:rsid w:val="00315AF3"/>
    <w:rsid w:val="00315C57"/>
    <w:rsid w:val="00317B0E"/>
    <w:rsid w:val="003234D8"/>
    <w:rsid w:val="00324130"/>
    <w:rsid w:val="003252C7"/>
    <w:rsid w:val="00331278"/>
    <w:rsid w:val="00373DC4"/>
    <w:rsid w:val="003B527E"/>
    <w:rsid w:val="003C45DF"/>
    <w:rsid w:val="003D6257"/>
    <w:rsid w:val="003D6E30"/>
    <w:rsid w:val="003D70E6"/>
    <w:rsid w:val="003F3D8F"/>
    <w:rsid w:val="004267CB"/>
    <w:rsid w:val="00447667"/>
    <w:rsid w:val="0045184B"/>
    <w:rsid w:val="00453AFB"/>
    <w:rsid w:val="00465482"/>
    <w:rsid w:val="00474FE2"/>
    <w:rsid w:val="00480343"/>
    <w:rsid w:val="00483431"/>
    <w:rsid w:val="00484F6C"/>
    <w:rsid w:val="00485F21"/>
    <w:rsid w:val="0049609F"/>
    <w:rsid w:val="004A1395"/>
    <w:rsid w:val="004A50B0"/>
    <w:rsid w:val="004B11CE"/>
    <w:rsid w:val="004B4DBA"/>
    <w:rsid w:val="004D4112"/>
    <w:rsid w:val="004D714B"/>
    <w:rsid w:val="004E3B8A"/>
    <w:rsid w:val="005142C6"/>
    <w:rsid w:val="005226A8"/>
    <w:rsid w:val="0052546B"/>
    <w:rsid w:val="00527D74"/>
    <w:rsid w:val="005335C1"/>
    <w:rsid w:val="00534877"/>
    <w:rsid w:val="0054028F"/>
    <w:rsid w:val="00562187"/>
    <w:rsid w:val="00563555"/>
    <w:rsid w:val="00563973"/>
    <w:rsid w:val="00572F6D"/>
    <w:rsid w:val="0057595D"/>
    <w:rsid w:val="00582A8B"/>
    <w:rsid w:val="005A4260"/>
    <w:rsid w:val="005B67F2"/>
    <w:rsid w:val="005D1A80"/>
    <w:rsid w:val="005D6AF0"/>
    <w:rsid w:val="006135E0"/>
    <w:rsid w:val="00633C35"/>
    <w:rsid w:val="00641753"/>
    <w:rsid w:val="00646D71"/>
    <w:rsid w:val="00647FDA"/>
    <w:rsid w:val="0065294D"/>
    <w:rsid w:val="006601E5"/>
    <w:rsid w:val="00663B0B"/>
    <w:rsid w:val="00666A6A"/>
    <w:rsid w:val="00692C41"/>
    <w:rsid w:val="006A0F94"/>
    <w:rsid w:val="006B4671"/>
    <w:rsid w:val="006D520E"/>
    <w:rsid w:val="006D73E3"/>
    <w:rsid w:val="0071619B"/>
    <w:rsid w:val="00717577"/>
    <w:rsid w:val="00724E01"/>
    <w:rsid w:val="0072573F"/>
    <w:rsid w:val="00732DB5"/>
    <w:rsid w:val="00745244"/>
    <w:rsid w:val="0075416F"/>
    <w:rsid w:val="0075777F"/>
    <w:rsid w:val="007617A8"/>
    <w:rsid w:val="00761A27"/>
    <w:rsid w:val="0077308B"/>
    <w:rsid w:val="00777663"/>
    <w:rsid w:val="007950CF"/>
    <w:rsid w:val="00797E87"/>
    <w:rsid w:val="007B7F21"/>
    <w:rsid w:val="007E6AA8"/>
    <w:rsid w:val="007F514F"/>
    <w:rsid w:val="0080163B"/>
    <w:rsid w:val="0080184A"/>
    <w:rsid w:val="008039DA"/>
    <w:rsid w:val="00810F11"/>
    <w:rsid w:val="00811AB3"/>
    <w:rsid w:val="008142C5"/>
    <w:rsid w:val="008302CB"/>
    <w:rsid w:val="008465E2"/>
    <w:rsid w:val="00860BAC"/>
    <w:rsid w:val="008672EF"/>
    <w:rsid w:val="00873D73"/>
    <w:rsid w:val="008777B7"/>
    <w:rsid w:val="0088067A"/>
    <w:rsid w:val="00893106"/>
    <w:rsid w:val="008A4D07"/>
    <w:rsid w:val="008C050B"/>
    <w:rsid w:val="008C7C82"/>
    <w:rsid w:val="008D5FD3"/>
    <w:rsid w:val="008E1B59"/>
    <w:rsid w:val="008E48BE"/>
    <w:rsid w:val="00910CA0"/>
    <w:rsid w:val="009160B1"/>
    <w:rsid w:val="00921154"/>
    <w:rsid w:val="009301E3"/>
    <w:rsid w:val="0093060C"/>
    <w:rsid w:val="00966AE0"/>
    <w:rsid w:val="00997D3D"/>
    <w:rsid w:val="009C1741"/>
    <w:rsid w:val="009C3BF7"/>
    <w:rsid w:val="009D267E"/>
    <w:rsid w:val="009D5285"/>
    <w:rsid w:val="009E2261"/>
    <w:rsid w:val="009E2CCC"/>
    <w:rsid w:val="009F4080"/>
    <w:rsid w:val="009F7D32"/>
    <w:rsid w:val="00A02C48"/>
    <w:rsid w:val="00A11ED4"/>
    <w:rsid w:val="00A562C4"/>
    <w:rsid w:val="00A57E63"/>
    <w:rsid w:val="00A57F26"/>
    <w:rsid w:val="00A60CEA"/>
    <w:rsid w:val="00A66753"/>
    <w:rsid w:val="00A75839"/>
    <w:rsid w:val="00A82948"/>
    <w:rsid w:val="00A84E53"/>
    <w:rsid w:val="00A87AF7"/>
    <w:rsid w:val="00AA20CA"/>
    <w:rsid w:val="00AB566E"/>
    <w:rsid w:val="00AB5ADA"/>
    <w:rsid w:val="00AB70DD"/>
    <w:rsid w:val="00AC0F51"/>
    <w:rsid w:val="00AC2AE8"/>
    <w:rsid w:val="00AD7386"/>
    <w:rsid w:val="00AE6AEF"/>
    <w:rsid w:val="00B14E3F"/>
    <w:rsid w:val="00B23BD1"/>
    <w:rsid w:val="00B24379"/>
    <w:rsid w:val="00B2624C"/>
    <w:rsid w:val="00B5595E"/>
    <w:rsid w:val="00BA0B0D"/>
    <w:rsid w:val="00BA5BA8"/>
    <w:rsid w:val="00BB6AE9"/>
    <w:rsid w:val="00BC2D33"/>
    <w:rsid w:val="00BD5B97"/>
    <w:rsid w:val="00BE5E9F"/>
    <w:rsid w:val="00BF33D6"/>
    <w:rsid w:val="00C01D48"/>
    <w:rsid w:val="00C15688"/>
    <w:rsid w:val="00C1659C"/>
    <w:rsid w:val="00C20CC8"/>
    <w:rsid w:val="00C25FA2"/>
    <w:rsid w:val="00C475BE"/>
    <w:rsid w:val="00C66397"/>
    <w:rsid w:val="00C75C8C"/>
    <w:rsid w:val="00C8136B"/>
    <w:rsid w:val="00C92BB0"/>
    <w:rsid w:val="00CB0669"/>
    <w:rsid w:val="00CC193F"/>
    <w:rsid w:val="00CC4821"/>
    <w:rsid w:val="00CD049D"/>
    <w:rsid w:val="00CE57E2"/>
    <w:rsid w:val="00CF674A"/>
    <w:rsid w:val="00D040BC"/>
    <w:rsid w:val="00D04C65"/>
    <w:rsid w:val="00D53A0B"/>
    <w:rsid w:val="00D65923"/>
    <w:rsid w:val="00D67134"/>
    <w:rsid w:val="00D86961"/>
    <w:rsid w:val="00D951B9"/>
    <w:rsid w:val="00DA1C75"/>
    <w:rsid w:val="00DA3C85"/>
    <w:rsid w:val="00DF4194"/>
    <w:rsid w:val="00E0543B"/>
    <w:rsid w:val="00E13B13"/>
    <w:rsid w:val="00E16DFF"/>
    <w:rsid w:val="00E53907"/>
    <w:rsid w:val="00E675F4"/>
    <w:rsid w:val="00E76DB5"/>
    <w:rsid w:val="00E80A61"/>
    <w:rsid w:val="00EA005D"/>
    <w:rsid w:val="00EA1A35"/>
    <w:rsid w:val="00EA333F"/>
    <w:rsid w:val="00EB267F"/>
    <w:rsid w:val="00EB3B94"/>
    <w:rsid w:val="00ED543D"/>
    <w:rsid w:val="00ED66C4"/>
    <w:rsid w:val="00EE25C8"/>
    <w:rsid w:val="00EF291D"/>
    <w:rsid w:val="00EF4593"/>
    <w:rsid w:val="00F1077B"/>
    <w:rsid w:val="00F1142C"/>
    <w:rsid w:val="00F1436A"/>
    <w:rsid w:val="00F24583"/>
    <w:rsid w:val="00F27A79"/>
    <w:rsid w:val="00F34455"/>
    <w:rsid w:val="00F371A6"/>
    <w:rsid w:val="00F6755B"/>
    <w:rsid w:val="00F8237B"/>
    <w:rsid w:val="00F94AE8"/>
    <w:rsid w:val="00FA120C"/>
    <w:rsid w:val="00FA6886"/>
    <w:rsid w:val="00FB02C3"/>
    <w:rsid w:val="00FB26F6"/>
    <w:rsid w:val="00FC5D86"/>
    <w:rsid w:val="00FD433B"/>
    <w:rsid w:val="00FD460F"/>
    <w:rsid w:val="00FD7C68"/>
    <w:rsid w:val="00FE1F9E"/>
    <w:rsid w:val="00FF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18C058"/>
  <w15:chartTrackingRefBased/>
  <w15:docId w15:val="{AA8A1A96-A54A-46BA-9AFC-A18B3379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23BD1"/>
    <w:pPr>
      <w:keepNext/>
      <w:spacing w:before="360" w:after="240" w:line="288" w:lineRule="auto"/>
      <w:outlineLvl w:val="2"/>
    </w:pPr>
    <w:rPr>
      <w:rFonts w:ascii="Arial" w:eastAsiaTheme="majorEastAsia" w:hAnsi="Arial" w:cstheme="majorBidi"/>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BD1"/>
    <w:pPr>
      <w:ind w:left="720"/>
      <w:contextualSpacing/>
    </w:pPr>
  </w:style>
  <w:style w:type="character" w:customStyle="1" w:styleId="Heading3Char">
    <w:name w:val="Heading 3 Char"/>
    <w:basedOn w:val="DefaultParagraphFont"/>
    <w:link w:val="Heading3"/>
    <w:rsid w:val="00B23BD1"/>
    <w:rPr>
      <w:rFonts w:ascii="Arial" w:eastAsiaTheme="majorEastAsia" w:hAnsi="Arial" w:cstheme="majorBidi"/>
      <w:bCs/>
      <w:i/>
      <w:sz w:val="24"/>
      <w:szCs w:val="26"/>
      <w:lang w:eastAsia="en-GB"/>
    </w:rPr>
  </w:style>
  <w:style w:type="paragraph" w:styleId="BodyText">
    <w:name w:val="Body Text"/>
    <w:basedOn w:val="Normal"/>
    <w:link w:val="BodyTextChar"/>
    <w:qFormat/>
    <w:rsid w:val="00B23BD1"/>
    <w:pPr>
      <w:numPr>
        <w:numId w:val="2"/>
      </w:numPr>
      <w:spacing w:after="240" w:line="288" w:lineRule="auto"/>
    </w:pPr>
    <w:rPr>
      <w:rFonts w:ascii="Arial" w:eastAsia="Times New Roman" w:hAnsi="Arial" w:cs="Arial"/>
      <w:sz w:val="24"/>
      <w:lang w:bidi="en-US"/>
    </w:rPr>
  </w:style>
  <w:style w:type="character" w:customStyle="1" w:styleId="BodyTextChar">
    <w:name w:val="Body Text Char"/>
    <w:basedOn w:val="DefaultParagraphFont"/>
    <w:link w:val="BodyText"/>
    <w:rsid w:val="00B23BD1"/>
    <w:rPr>
      <w:rFonts w:ascii="Arial" w:eastAsia="Times New Roman" w:hAnsi="Arial" w:cs="Arial"/>
      <w:sz w:val="24"/>
      <w:lang w:bidi="en-US"/>
    </w:rPr>
  </w:style>
  <w:style w:type="paragraph" w:styleId="FootnoteText">
    <w:name w:val="footnote text"/>
    <w:basedOn w:val="Normal"/>
    <w:link w:val="FootnoteTextChar"/>
    <w:uiPriority w:val="1"/>
    <w:qFormat/>
    <w:rsid w:val="00B23BD1"/>
    <w:pPr>
      <w:spacing w:after="0" w:line="240" w:lineRule="auto"/>
    </w:pPr>
    <w:rPr>
      <w:rFonts w:ascii="Arial" w:eastAsia="Times New Roman" w:hAnsi="Arial" w:cs="Arial"/>
      <w:sz w:val="18"/>
      <w:szCs w:val="20"/>
      <w:lang w:eastAsia="en-GB"/>
    </w:rPr>
  </w:style>
  <w:style w:type="character" w:customStyle="1" w:styleId="FootnoteTextChar">
    <w:name w:val="Footnote Text Char"/>
    <w:basedOn w:val="DefaultParagraphFont"/>
    <w:link w:val="FootnoteText"/>
    <w:uiPriority w:val="1"/>
    <w:rsid w:val="00B23BD1"/>
    <w:rPr>
      <w:rFonts w:ascii="Arial" w:eastAsia="Times New Roman" w:hAnsi="Arial" w:cs="Arial"/>
      <w:sz w:val="18"/>
      <w:szCs w:val="20"/>
      <w:lang w:eastAsia="en-GB"/>
    </w:rPr>
  </w:style>
  <w:style w:type="character" w:styleId="FootnoteReference">
    <w:name w:val="footnote reference"/>
    <w:basedOn w:val="DefaultParagraphFont"/>
    <w:rsid w:val="00B23BD1"/>
    <w:rPr>
      <w:rFonts w:ascii="Arial" w:hAnsi="Arial"/>
      <w:caps w:val="0"/>
      <w:smallCaps w:val="0"/>
      <w:strike w:val="0"/>
      <w:dstrike w:val="0"/>
      <w:vanish w:val="0"/>
      <w:sz w:val="24"/>
      <w:vertAlign w:val="superscript"/>
    </w:rPr>
  </w:style>
  <w:style w:type="character" w:styleId="Hyperlink">
    <w:name w:val="Hyperlink"/>
    <w:basedOn w:val="DefaultParagraphFont"/>
    <w:uiPriority w:val="99"/>
    <w:rsid w:val="00563973"/>
    <w:rPr>
      <w:color w:val="0000FF"/>
      <w:u w:val="none"/>
    </w:rPr>
  </w:style>
  <w:style w:type="table" w:styleId="TableGrid">
    <w:name w:val="Table Grid"/>
    <w:basedOn w:val="TableNormal"/>
    <w:uiPriority w:val="39"/>
    <w:rsid w:val="002C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7E63"/>
    <w:rPr>
      <w:rFonts w:ascii="Times New Roman" w:hAnsi="Times New Roman" w:cs="Times New Roman"/>
      <w:sz w:val="18"/>
      <w:szCs w:val="18"/>
    </w:rPr>
  </w:style>
  <w:style w:type="paragraph" w:styleId="Header">
    <w:name w:val="header"/>
    <w:basedOn w:val="Normal"/>
    <w:link w:val="HeaderChar"/>
    <w:uiPriority w:val="99"/>
    <w:unhideWhenUsed/>
    <w:rsid w:val="00647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DA"/>
  </w:style>
  <w:style w:type="paragraph" w:styleId="Footer">
    <w:name w:val="footer"/>
    <w:basedOn w:val="Normal"/>
    <w:link w:val="FooterChar"/>
    <w:uiPriority w:val="99"/>
    <w:unhideWhenUsed/>
    <w:rsid w:val="00647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DA"/>
  </w:style>
  <w:style w:type="character" w:styleId="CommentReference">
    <w:name w:val="annotation reference"/>
    <w:basedOn w:val="DefaultParagraphFont"/>
    <w:uiPriority w:val="99"/>
    <w:semiHidden/>
    <w:unhideWhenUsed/>
    <w:rsid w:val="00FD460F"/>
    <w:rPr>
      <w:sz w:val="16"/>
      <w:szCs w:val="16"/>
    </w:rPr>
  </w:style>
  <w:style w:type="paragraph" w:styleId="CommentText">
    <w:name w:val="annotation text"/>
    <w:basedOn w:val="Normal"/>
    <w:link w:val="CommentTextChar"/>
    <w:uiPriority w:val="99"/>
    <w:semiHidden/>
    <w:unhideWhenUsed/>
    <w:rsid w:val="00FD460F"/>
    <w:pPr>
      <w:spacing w:line="240" w:lineRule="auto"/>
    </w:pPr>
    <w:rPr>
      <w:sz w:val="20"/>
      <w:szCs w:val="20"/>
    </w:rPr>
  </w:style>
  <w:style w:type="character" w:customStyle="1" w:styleId="CommentTextChar">
    <w:name w:val="Comment Text Char"/>
    <w:basedOn w:val="DefaultParagraphFont"/>
    <w:link w:val="CommentText"/>
    <w:uiPriority w:val="99"/>
    <w:semiHidden/>
    <w:rsid w:val="00FD460F"/>
    <w:rPr>
      <w:sz w:val="20"/>
      <w:szCs w:val="20"/>
    </w:rPr>
  </w:style>
  <w:style w:type="paragraph" w:styleId="CommentSubject">
    <w:name w:val="annotation subject"/>
    <w:basedOn w:val="CommentText"/>
    <w:next w:val="CommentText"/>
    <w:link w:val="CommentSubjectChar"/>
    <w:uiPriority w:val="99"/>
    <w:semiHidden/>
    <w:unhideWhenUsed/>
    <w:rsid w:val="00FD460F"/>
    <w:rPr>
      <w:b/>
      <w:bCs/>
    </w:rPr>
  </w:style>
  <w:style w:type="character" w:customStyle="1" w:styleId="CommentSubjectChar">
    <w:name w:val="Comment Subject Char"/>
    <w:basedOn w:val="CommentTextChar"/>
    <w:link w:val="CommentSubject"/>
    <w:uiPriority w:val="99"/>
    <w:semiHidden/>
    <w:rsid w:val="00FD460F"/>
    <w:rPr>
      <w:b/>
      <w:bCs/>
      <w:sz w:val="20"/>
      <w:szCs w:val="20"/>
    </w:rPr>
  </w:style>
  <w:style w:type="character" w:styleId="FollowedHyperlink">
    <w:name w:val="FollowedHyperlink"/>
    <w:basedOn w:val="DefaultParagraphFont"/>
    <w:uiPriority w:val="99"/>
    <w:semiHidden/>
    <w:unhideWhenUsed/>
    <w:rsid w:val="00EE2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alservicesboard.org.uk/Projects/statutory_decision_making/section_51_practising_f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D712-5AA1-4C39-BB3A-4FCF8CE0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PCF proforma for legal</vt:lpstr>
    </vt:vector>
  </TitlesOfParts>
  <Company>Legal Services Board</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PCF proforma for legal</dc:title>
  <dc:subject/>
  <dc:creator>Sally Al-Saleem</dc:creator>
  <cp:keywords/>
  <dc:description/>
  <cp:lastModifiedBy>Sally Al-Saleem</cp:lastModifiedBy>
  <cp:revision>2</cp:revision>
  <dcterms:created xsi:type="dcterms:W3CDTF">2019-03-27T08:51:00Z</dcterms:created>
  <dcterms:modified xsi:type="dcterms:W3CDTF">2019-03-27T08:51:00Z</dcterms:modified>
</cp:coreProperties>
</file>